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F4C" w:rsidRPr="00C94F4C" w:rsidRDefault="00C94F4C" w:rsidP="00C94F4C">
      <w:pPr>
        <w:jc w:val="center"/>
        <w:rPr>
          <w:b/>
        </w:rPr>
      </w:pPr>
      <w:bookmarkStart w:id="0" w:name="_GoBack"/>
      <w:bookmarkEnd w:id="0"/>
      <w:r>
        <w:rPr>
          <w:b/>
        </w:rPr>
        <w:t xml:space="preserve">Questionnaire </w:t>
      </w:r>
      <w:r w:rsidR="00711D7A">
        <w:rPr>
          <w:b/>
        </w:rPr>
        <w:t>– Proposal on Mutual Recognition</w:t>
      </w:r>
    </w:p>
    <w:p w:rsidR="002032DA" w:rsidRDefault="009810EA" w:rsidP="009810EA">
      <w:r>
        <w:rPr>
          <w:b/>
        </w:rPr>
        <w:t>Background</w:t>
      </w:r>
    </w:p>
    <w:p w:rsidR="009810EA" w:rsidRDefault="009810EA" w:rsidP="009810EA">
      <w:r>
        <w:t xml:space="preserve">On 20 December 2017, the European Commission published a Communication on ‘The Goods Package: Reinforcing trust in the single market’. As part of this package, the Commission proposed a </w:t>
      </w:r>
      <w:r w:rsidR="00AA325C">
        <w:t xml:space="preserve">new </w:t>
      </w:r>
      <w:hyperlink r:id="rId8" w:history="1">
        <w:r w:rsidRPr="00BC54D7">
          <w:rPr>
            <w:rStyle w:val="Hyperlink"/>
          </w:rPr>
          <w:t>Regulation on the mutual recognition of goods lawfully marketed in another Member State</w:t>
        </w:r>
      </w:hyperlink>
      <w:r>
        <w:t xml:space="preserve"> (the ‘Proposal’), to replace </w:t>
      </w:r>
      <w:hyperlink r:id="rId9" w:history="1">
        <w:r w:rsidRPr="00BC54D7">
          <w:rPr>
            <w:rStyle w:val="Hyperlink"/>
          </w:rPr>
          <w:t>Regulation (EC) No 764/2008</w:t>
        </w:r>
      </w:hyperlink>
      <w:r>
        <w:t>, the Mutual Recognition Regulation.</w:t>
      </w:r>
    </w:p>
    <w:p w:rsidR="00454803" w:rsidRDefault="009810EA" w:rsidP="009810EA">
      <w:r>
        <w:t xml:space="preserve">The overarching objective of the </w:t>
      </w:r>
      <w:r w:rsidR="00AA325C">
        <w:t xml:space="preserve">Commission’s </w:t>
      </w:r>
      <w:r>
        <w:t xml:space="preserve">Proposal is to achieve a fairer and deeper single market for goods by improving the functioning of the mutual recognition </w:t>
      </w:r>
      <w:r w:rsidR="00454803">
        <w:t xml:space="preserve">principle (MRP). </w:t>
      </w:r>
      <w:r w:rsidR="00AA325C">
        <w:t xml:space="preserve">The </w:t>
      </w:r>
      <w:r w:rsidR="00454803">
        <w:t xml:space="preserve">MRP allows goods lawfully marketed in one Member State to be lawfully marketed in any other, without the need to change the product to meet the national technical requirements of the importing Member State. This applies to non-harmonised products: those that are not regulated at the Union level or products only partially covered by Union legislation (e.g. textiles, footwear, jewellery, furniture). </w:t>
      </w:r>
    </w:p>
    <w:p w:rsidR="009810EA" w:rsidRDefault="00454803" w:rsidP="009810EA">
      <w:r>
        <w:t xml:space="preserve">To facilitate the free movement of non-harmonised goods in the single market under </w:t>
      </w:r>
      <w:r w:rsidR="00485306">
        <w:t xml:space="preserve">the </w:t>
      </w:r>
      <w:r>
        <w:t>MRP, the EU</w:t>
      </w:r>
      <w:r w:rsidR="00485306">
        <w:t xml:space="preserve"> introduced</w:t>
      </w:r>
      <w:r>
        <w:t xml:space="preserve"> the Mutu</w:t>
      </w:r>
      <w:r w:rsidR="00485306">
        <w:t>al Recognition Regulation (EC 764/2008)</w:t>
      </w:r>
      <w:r>
        <w:t xml:space="preserve"> in 2008.</w:t>
      </w:r>
      <w:r>
        <w:rPr>
          <w:rStyle w:val="FootnoteReference"/>
        </w:rPr>
        <w:footnoteReference w:id="1"/>
      </w:r>
      <w:r w:rsidR="00AA325C">
        <w:t xml:space="preserve"> The Regulation</w:t>
      </w:r>
      <w:r>
        <w:t xml:space="preserve"> established a process t</w:t>
      </w:r>
      <w:r w:rsidR="00485306">
        <w:t xml:space="preserve">o be followed by Member State </w:t>
      </w:r>
      <w:r>
        <w:t>authorities (e.g. market surveillance authoriti</w:t>
      </w:r>
      <w:r w:rsidR="00485306">
        <w:t xml:space="preserve">es) when restricting </w:t>
      </w:r>
      <w:r>
        <w:t xml:space="preserve">a non-harmonised good that had been lawfully marketed in another Member State from entering their market. This process included a requirement to notify a business of any decision to restrict or deny a good, and then give that business the opportunity to </w:t>
      </w:r>
      <w:r w:rsidR="00194A4B">
        <w:t>defend their righ</w:t>
      </w:r>
      <w:r w:rsidR="00485306">
        <w:t>t to market access</w:t>
      </w:r>
      <w:r w:rsidR="00194A4B">
        <w:t xml:space="preserve">. The </w:t>
      </w:r>
      <w:r w:rsidR="00485306">
        <w:t>2008 Regulation</w:t>
      </w:r>
      <w:r w:rsidR="00194A4B">
        <w:t xml:space="preserve"> also established Product Contact Points (PCPs) in each Member State, who provide information on the national technical rules that apply in their market. </w:t>
      </w:r>
    </w:p>
    <w:p w:rsidR="00194A4B" w:rsidRDefault="00194A4B" w:rsidP="009810EA">
      <w:r>
        <w:t xml:space="preserve">However, </w:t>
      </w:r>
      <w:r w:rsidR="00485306">
        <w:t>the Commission consider that the 2008 Regulation</w:t>
      </w:r>
      <w:r>
        <w:t xml:space="preserve"> is not wholly effective in facilitating the application of the MRP. Businesses across the single market continue to face barriers to market access when trying to sell a non-harmonised good in another Member State market. As such, the Commission introduced the </w:t>
      </w:r>
      <w:r w:rsidR="00485306">
        <w:t xml:space="preserve">new </w:t>
      </w:r>
      <w:r>
        <w:t xml:space="preserve">Proposal with the aim of improving the process. </w:t>
      </w:r>
    </w:p>
    <w:p w:rsidR="00194A4B" w:rsidRDefault="00194A4B" w:rsidP="009810EA">
      <w:r>
        <w:rPr>
          <w:b/>
        </w:rPr>
        <w:t xml:space="preserve">The </w:t>
      </w:r>
      <w:r w:rsidR="00485306">
        <w:rPr>
          <w:b/>
        </w:rPr>
        <w:t xml:space="preserve">New </w:t>
      </w:r>
      <w:r>
        <w:rPr>
          <w:b/>
        </w:rPr>
        <w:t>Proposal</w:t>
      </w:r>
    </w:p>
    <w:p w:rsidR="00194A4B" w:rsidRDefault="00194A4B" w:rsidP="009810EA">
      <w:r>
        <w:t xml:space="preserve">The Commission’s Proposal aims to raise awareness of the MRP and streamline businesses’ ability to assert their rights under the MRP. It includes the following key elements: </w:t>
      </w:r>
    </w:p>
    <w:p w:rsidR="00194A4B" w:rsidRDefault="00194A4B" w:rsidP="00194A4B">
      <w:pPr>
        <w:pStyle w:val="ListParagraph"/>
        <w:numPr>
          <w:ilvl w:val="0"/>
          <w:numId w:val="22"/>
        </w:numPr>
      </w:pPr>
      <w:r>
        <w:rPr>
          <w:b/>
        </w:rPr>
        <w:t>The introduction of a voluntary mutual recognition declaration</w:t>
      </w:r>
      <w:r>
        <w:t xml:space="preserve">. The voluntary declaration could be used by businesses when trying to sell their non-harmonised good in another Member State market, to demonstrate that their good </w:t>
      </w:r>
      <w:r w:rsidR="00485306">
        <w:t xml:space="preserve">has </w:t>
      </w:r>
      <w:r>
        <w:t>already</w:t>
      </w:r>
      <w:r w:rsidR="00485306">
        <w:t xml:space="preserve"> been</w:t>
      </w:r>
      <w:r>
        <w:t xml:space="preserve"> lawfully marketed in one Member State. The declaration would include information about the product being marketed, such as a description of the good and the applicable rules in the Member State where it is already lawfully marketed. </w:t>
      </w:r>
      <w:r w:rsidR="006E31F6">
        <w:t xml:space="preserve">It can be provided by electronic means. Full details of what would be required for </w:t>
      </w:r>
      <w:r w:rsidR="006E31F6">
        <w:lastRenderedPageBreak/>
        <w:t xml:space="preserve">the declaration is available in Annex A. </w:t>
      </w:r>
      <w:r w:rsidR="006E31F6">
        <w:br/>
      </w:r>
    </w:p>
    <w:p w:rsidR="00C94F4C" w:rsidRDefault="006E31F6" w:rsidP="00194A4B">
      <w:pPr>
        <w:pStyle w:val="ListParagraph"/>
        <w:numPr>
          <w:ilvl w:val="0"/>
          <w:numId w:val="22"/>
        </w:numPr>
      </w:pPr>
      <w:r>
        <w:rPr>
          <w:b/>
        </w:rPr>
        <w:t xml:space="preserve">The introduction of a problem-solving procedure. </w:t>
      </w:r>
      <w:r>
        <w:t xml:space="preserve">If a business tries to sell their non-harmonised good in another Member State and has their market access restricted or denied, they can currently challenge the decision through the Internal Market Problem Solving Network (SOLVIT). The </w:t>
      </w:r>
      <w:r w:rsidR="00BE0145">
        <w:t xml:space="preserve">new </w:t>
      </w:r>
      <w:r>
        <w:t>Proposal aims to strengthen this process by introducing the opportunity for the Home SOLVIT Centre, i.e. the UK SOLVIT Centre, to ask the Commission for an opinion on the case</w:t>
      </w:r>
      <w:r w:rsidR="00467DAE">
        <w:t>, as they are aware of the operation of the MRP across the single market</w:t>
      </w:r>
      <w:r>
        <w:t xml:space="preserve">. </w:t>
      </w:r>
      <w:r w:rsidR="00BE0145">
        <w:br/>
      </w:r>
    </w:p>
    <w:p w:rsidR="00C94F4C" w:rsidRDefault="00C94F4C" w:rsidP="00194A4B">
      <w:pPr>
        <w:pStyle w:val="ListParagraph"/>
        <w:numPr>
          <w:ilvl w:val="0"/>
          <w:numId w:val="22"/>
        </w:numPr>
      </w:pPr>
      <w:r>
        <w:rPr>
          <w:b/>
        </w:rPr>
        <w:t xml:space="preserve">Provisions to strengthen the role of Member State PCPs. </w:t>
      </w:r>
      <w:r>
        <w:t xml:space="preserve">PCPs were established </w:t>
      </w:r>
      <w:r w:rsidR="00BE0145">
        <w:t>in the 2008 Regulation</w:t>
      </w:r>
      <w:r>
        <w:t xml:space="preserve">, but this Proposal further clarifies their roles. They would continue to be a resource for businesses to understand the national technical rules that apply in that Member State’s market, but the Proposal also calls for increased cooperation between PCPs and national authorities of different Member States. </w:t>
      </w:r>
    </w:p>
    <w:p w:rsidR="006E31F6" w:rsidRDefault="000E0D1F" w:rsidP="00C94F4C">
      <w:proofErr w:type="gramStart"/>
      <w:r>
        <w:rPr>
          <w:b/>
        </w:rPr>
        <w:t>Your</w:t>
      </w:r>
      <w:proofErr w:type="gramEnd"/>
      <w:r>
        <w:rPr>
          <w:b/>
        </w:rPr>
        <w:t xml:space="preserve"> Views</w:t>
      </w:r>
    </w:p>
    <w:p w:rsidR="000E0D1F" w:rsidRDefault="00BE0145" w:rsidP="00C94F4C">
      <w:r>
        <w:t>We would be grateful for</w:t>
      </w:r>
      <w:r w:rsidR="000E0D1F">
        <w:t xml:space="preserve"> your views of the changes </w:t>
      </w:r>
      <w:r>
        <w:t xml:space="preserve">proposed by the Commission. </w:t>
      </w:r>
      <w:r w:rsidR="000E0D1F">
        <w:t>We’ve s</w:t>
      </w:r>
      <w:r>
        <w:t>et out some questions below, but</w:t>
      </w:r>
      <w:r w:rsidR="000E0D1F">
        <w:t xml:space="preserve"> would </w:t>
      </w:r>
      <w:r>
        <w:t xml:space="preserve">also </w:t>
      </w:r>
      <w:r w:rsidR="000E0D1F">
        <w:t xml:space="preserve">be happy to arrange a time to discuss in more detail, either in-person or by phone. </w:t>
      </w:r>
    </w:p>
    <w:p w:rsidR="000E0D1F" w:rsidRDefault="000E0D1F" w:rsidP="000E0D1F">
      <w:pPr>
        <w:rPr>
          <w:b/>
          <w:i/>
        </w:rPr>
      </w:pPr>
      <w:r>
        <w:rPr>
          <w:b/>
          <w:i/>
        </w:rPr>
        <w:t>The Mutual Recognition Principle (MRP)</w:t>
      </w:r>
    </w:p>
    <w:p w:rsidR="00D36556" w:rsidRDefault="00886547" w:rsidP="00D36556">
      <w:pPr>
        <w:pStyle w:val="ListParagraph"/>
        <w:numPr>
          <w:ilvl w:val="0"/>
          <w:numId w:val="24"/>
        </w:numPr>
        <w:ind w:left="426"/>
      </w:pPr>
      <w:r>
        <w:t xml:space="preserve">Do you (or, if you represent a trade association, the businesses you represent) manufacture non-harmonised goods, e.g. those regulated at the national, rather than EU, level? </w:t>
      </w:r>
      <w:r w:rsidR="00D36556">
        <w:t>What type of goods?</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p w:rsidR="00D36556" w:rsidRDefault="00D36556" w:rsidP="00D36556"/>
        </w:tc>
      </w:tr>
    </w:tbl>
    <w:p w:rsidR="00886547" w:rsidRDefault="00886547" w:rsidP="00D36556"/>
    <w:p w:rsidR="00D36556" w:rsidRDefault="00FE143A" w:rsidP="00D36556">
      <w:pPr>
        <w:pStyle w:val="ListParagraph"/>
        <w:numPr>
          <w:ilvl w:val="0"/>
          <w:numId w:val="24"/>
        </w:numPr>
        <w:ind w:left="426"/>
      </w:pPr>
      <w:r>
        <w:t xml:space="preserve">Do you manufacture </w:t>
      </w:r>
      <w:r w:rsidR="00BE0145">
        <w:t xml:space="preserve">non-harmonised </w:t>
      </w:r>
      <w:r>
        <w:t xml:space="preserve">goods predominantly for the UK market, Member State markets, or third-country markets? </w:t>
      </w:r>
    </w:p>
    <w:tbl>
      <w:tblPr>
        <w:tblStyle w:val="TableGrid"/>
        <w:tblW w:w="0" w:type="auto"/>
        <w:tblInd w:w="66" w:type="dxa"/>
        <w:tblLook w:val="04A0" w:firstRow="1" w:lastRow="0" w:firstColumn="1" w:lastColumn="0" w:noHBand="0" w:noVBand="1"/>
      </w:tblPr>
      <w:tblGrid>
        <w:gridCol w:w="9788"/>
      </w:tblGrid>
      <w:tr w:rsidR="00D36556" w:rsidTr="00D36556">
        <w:tc>
          <w:tcPr>
            <w:tcW w:w="9854" w:type="dxa"/>
          </w:tcPr>
          <w:p w:rsidR="00D36556" w:rsidRDefault="00D36556" w:rsidP="00D36556"/>
          <w:p w:rsidR="00D36556" w:rsidRDefault="00D36556" w:rsidP="00D36556"/>
        </w:tc>
      </w:tr>
    </w:tbl>
    <w:p w:rsidR="00886547" w:rsidRDefault="00FE143A" w:rsidP="00D36556">
      <w:pPr>
        <w:ind w:left="66"/>
      </w:pPr>
      <w:r>
        <w:br/>
      </w:r>
    </w:p>
    <w:p w:rsidR="00D36556" w:rsidRDefault="00D36556" w:rsidP="00D36556">
      <w:pPr>
        <w:ind w:left="66"/>
      </w:pPr>
    </w:p>
    <w:p w:rsidR="00D36556" w:rsidRDefault="00FE143A" w:rsidP="00D36556">
      <w:pPr>
        <w:pStyle w:val="ListParagraph"/>
        <w:numPr>
          <w:ilvl w:val="0"/>
          <w:numId w:val="24"/>
        </w:numPr>
        <w:ind w:left="426"/>
      </w:pPr>
      <w:r>
        <w:lastRenderedPageBreak/>
        <w:t xml:space="preserve">Do you adhere to different requirements/rules when manufacturing goods to place on </w:t>
      </w:r>
      <w:r w:rsidR="00BE0145">
        <w:t xml:space="preserve">other </w:t>
      </w:r>
      <w:r>
        <w:t xml:space="preserve">Member State markets? If yes, how do you identify which requirements apply? </w:t>
      </w:r>
    </w:p>
    <w:tbl>
      <w:tblPr>
        <w:tblStyle w:val="TableGrid"/>
        <w:tblW w:w="0" w:type="auto"/>
        <w:tblInd w:w="66" w:type="dxa"/>
        <w:tblLook w:val="04A0" w:firstRow="1" w:lastRow="0" w:firstColumn="1" w:lastColumn="0" w:noHBand="0" w:noVBand="1"/>
      </w:tblPr>
      <w:tblGrid>
        <w:gridCol w:w="9788"/>
      </w:tblGrid>
      <w:tr w:rsidR="00D36556" w:rsidTr="00D36556">
        <w:tc>
          <w:tcPr>
            <w:tcW w:w="9854" w:type="dxa"/>
          </w:tcPr>
          <w:p w:rsidR="00D36556" w:rsidRDefault="00D36556" w:rsidP="00D36556"/>
          <w:p w:rsidR="00D36556" w:rsidRDefault="00D36556" w:rsidP="00D36556"/>
        </w:tc>
      </w:tr>
    </w:tbl>
    <w:p w:rsidR="00FE143A" w:rsidRDefault="00FE143A" w:rsidP="00D36556">
      <w:pPr>
        <w:ind w:left="66"/>
      </w:pPr>
    </w:p>
    <w:p w:rsidR="00D36556" w:rsidRDefault="00FE143A" w:rsidP="00D36556">
      <w:pPr>
        <w:pStyle w:val="ListParagraph"/>
        <w:numPr>
          <w:ilvl w:val="0"/>
          <w:numId w:val="24"/>
        </w:numPr>
        <w:ind w:left="426"/>
      </w:pPr>
      <w:r>
        <w:t xml:space="preserve">Before receiving this questionnaire, were you aware of the Mutual Recognition Principle (MRP)? </w:t>
      </w:r>
    </w:p>
    <w:tbl>
      <w:tblPr>
        <w:tblStyle w:val="TableGrid"/>
        <w:tblW w:w="0" w:type="auto"/>
        <w:tblInd w:w="66" w:type="dxa"/>
        <w:tblLook w:val="04A0" w:firstRow="1" w:lastRow="0" w:firstColumn="1" w:lastColumn="0" w:noHBand="0" w:noVBand="1"/>
      </w:tblPr>
      <w:tblGrid>
        <w:gridCol w:w="9788"/>
      </w:tblGrid>
      <w:tr w:rsidR="00D36556" w:rsidTr="00D36556">
        <w:tc>
          <w:tcPr>
            <w:tcW w:w="9854" w:type="dxa"/>
          </w:tcPr>
          <w:p w:rsidR="00D36556" w:rsidRDefault="00D36556" w:rsidP="00D36556"/>
        </w:tc>
      </w:tr>
    </w:tbl>
    <w:p w:rsidR="00FE143A" w:rsidRDefault="00FE143A" w:rsidP="00D36556">
      <w:pPr>
        <w:ind w:left="66"/>
      </w:pPr>
    </w:p>
    <w:p w:rsidR="00D36556" w:rsidRDefault="00FE143A" w:rsidP="00D36556">
      <w:pPr>
        <w:pStyle w:val="ListParagraph"/>
        <w:numPr>
          <w:ilvl w:val="0"/>
          <w:numId w:val="24"/>
        </w:numPr>
        <w:ind w:left="426"/>
      </w:pPr>
      <w:r>
        <w:t>If yes, have you previously tried to rely on the MRP to place your goods on the m</w:t>
      </w:r>
      <w:r w:rsidR="00D36556">
        <w:t xml:space="preserve">arket of another Member State?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FE143A" w:rsidRDefault="00FE143A" w:rsidP="00D36556">
      <w:pPr>
        <w:pStyle w:val="ListParagraph"/>
        <w:numPr>
          <w:ilvl w:val="0"/>
          <w:numId w:val="24"/>
        </w:numPr>
        <w:ind w:left="426"/>
      </w:pPr>
      <w:r>
        <w:t xml:space="preserve">Was your attempt to place goods on the market of another Member State under the MRP successful? If not, what happened?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p w:rsidR="00D36556" w:rsidRDefault="00D36556" w:rsidP="00D36556"/>
        </w:tc>
      </w:tr>
    </w:tbl>
    <w:p w:rsidR="00D36556" w:rsidRPr="00886547" w:rsidRDefault="00D36556" w:rsidP="00D36556"/>
    <w:p w:rsidR="000E0D1F" w:rsidRDefault="000E0D1F" w:rsidP="000E0D1F">
      <w:pPr>
        <w:rPr>
          <w:b/>
          <w:i/>
        </w:rPr>
      </w:pPr>
      <w:r>
        <w:rPr>
          <w:b/>
          <w:i/>
        </w:rPr>
        <w:t xml:space="preserve">Regulation (EC) No 764/2008, the Mutual Recognition Regulation (MRR) </w:t>
      </w:r>
    </w:p>
    <w:p w:rsidR="00D36556" w:rsidRDefault="00FE143A" w:rsidP="00D36556">
      <w:pPr>
        <w:pStyle w:val="ListParagraph"/>
        <w:numPr>
          <w:ilvl w:val="0"/>
          <w:numId w:val="24"/>
        </w:numPr>
        <w:ind w:left="426"/>
      </w:pPr>
      <w:r>
        <w:t>Before receiving this questionnaire, were you aware of Regulation (EC) No 764/2008, the Mutual</w:t>
      </w:r>
      <w:r w:rsidR="00D36556">
        <w:t xml:space="preserve"> Recognition Regulation (MRR)?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D36556" w:rsidRDefault="00D36556" w:rsidP="000E0D1F">
      <w:pPr>
        <w:rPr>
          <w:b/>
          <w:i/>
        </w:rPr>
      </w:pPr>
    </w:p>
    <w:p w:rsidR="00D36556" w:rsidRDefault="00D36556" w:rsidP="000E0D1F">
      <w:pPr>
        <w:rPr>
          <w:b/>
          <w:i/>
        </w:rPr>
      </w:pPr>
    </w:p>
    <w:p w:rsidR="00D36556" w:rsidRDefault="00D36556" w:rsidP="000E0D1F">
      <w:pPr>
        <w:rPr>
          <w:b/>
          <w:i/>
        </w:rPr>
      </w:pPr>
    </w:p>
    <w:p w:rsidR="000E0D1F" w:rsidRDefault="00886547" w:rsidP="000E0D1F">
      <w:pPr>
        <w:rPr>
          <w:b/>
          <w:i/>
        </w:rPr>
      </w:pPr>
      <w:r>
        <w:rPr>
          <w:b/>
          <w:i/>
        </w:rPr>
        <w:lastRenderedPageBreak/>
        <w:t xml:space="preserve">The </w:t>
      </w:r>
      <w:r w:rsidR="00BE0145">
        <w:rPr>
          <w:b/>
          <w:i/>
        </w:rPr>
        <w:t xml:space="preserve">New </w:t>
      </w:r>
      <w:r>
        <w:rPr>
          <w:b/>
          <w:i/>
        </w:rPr>
        <w:t>Proposal</w:t>
      </w:r>
    </w:p>
    <w:p w:rsidR="00467DAE" w:rsidRPr="00467DAE" w:rsidRDefault="00467DAE" w:rsidP="000E0D1F">
      <w:pPr>
        <w:rPr>
          <w:i/>
        </w:rPr>
      </w:pPr>
      <w:r>
        <w:rPr>
          <w:i/>
        </w:rPr>
        <w:t>Voluntary mutual recognition declaration</w:t>
      </w:r>
    </w:p>
    <w:p w:rsidR="00D36556" w:rsidRDefault="00210B5C" w:rsidP="00D36556">
      <w:pPr>
        <w:pStyle w:val="ListParagraph"/>
        <w:numPr>
          <w:ilvl w:val="0"/>
          <w:numId w:val="24"/>
        </w:numPr>
        <w:ind w:left="426"/>
      </w:pPr>
      <w:r>
        <w:t xml:space="preserve">If you were looking to export your non-harmonised goods to another Member State, would you choose to use the </w:t>
      </w:r>
      <w:r w:rsidRPr="00467DAE">
        <w:t>voluntary mutual recognition declaration</w:t>
      </w:r>
      <w:r>
        <w:t xml:space="preserv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210B5C" w:rsidRDefault="00210B5C" w:rsidP="00D36556"/>
    <w:p w:rsidR="00D36556" w:rsidRDefault="00BE0145" w:rsidP="00D36556">
      <w:pPr>
        <w:pStyle w:val="ListParagraph"/>
        <w:numPr>
          <w:ilvl w:val="0"/>
          <w:numId w:val="24"/>
        </w:numPr>
        <w:ind w:left="426"/>
      </w:pPr>
      <w:r>
        <w:t>Approximately h</w:t>
      </w:r>
      <w:r w:rsidR="00210B5C">
        <w:t>ow much resource (e.g. time, personnel</w:t>
      </w:r>
      <w:r>
        <w:t xml:space="preserve">, </w:t>
      </w:r>
      <w:proofErr w:type="gramStart"/>
      <w:r>
        <w:t>cost</w:t>
      </w:r>
      <w:proofErr w:type="gramEnd"/>
      <w:r w:rsidR="00210B5C">
        <w:t xml:space="preserve">) would be needed to complete the declaration?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467DAE" w:rsidRDefault="00210B5C" w:rsidP="00D36556">
      <w:pPr>
        <w:pStyle w:val="ListParagraph"/>
        <w:numPr>
          <w:ilvl w:val="0"/>
          <w:numId w:val="24"/>
        </w:numPr>
        <w:ind w:left="426"/>
      </w:pPr>
      <w:r>
        <w:t xml:space="preserve">What type of information/documentation would you rely on to prove that your good has already been lawfully marketed in one Member State, and therefore should benefit from the MRP?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467DAE" w:rsidRDefault="00467DAE" w:rsidP="00467DAE">
      <w:r>
        <w:rPr>
          <w:i/>
        </w:rPr>
        <w:t>Problem-solving procedure</w:t>
      </w:r>
    </w:p>
    <w:p w:rsidR="00D36556" w:rsidRDefault="00742D33" w:rsidP="00D36556">
      <w:pPr>
        <w:pStyle w:val="ListParagraph"/>
        <w:numPr>
          <w:ilvl w:val="0"/>
          <w:numId w:val="24"/>
        </w:numPr>
        <w:ind w:left="426"/>
      </w:pPr>
      <w:r>
        <w:t xml:space="preserve">If, when trying to export to another Member State’s market under the MRP, your goods were restricted or denied market access, would you consider disputing the decision? </w:t>
      </w:r>
      <w:r w:rsidR="0070307F">
        <w:t xml:space="preserve">If not, why?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210B5C" w:rsidRDefault="00210B5C" w:rsidP="00D36556"/>
    <w:p w:rsidR="00D36556" w:rsidRDefault="0070307F" w:rsidP="00D36556">
      <w:pPr>
        <w:pStyle w:val="ListParagraph"/>
        <w:numPr>
          <w:ilvl w:val="0"/>
          <w:numId w:val="24"/>
        </w:numPr>
        <w:ind w:left="426"/>
      </w:pPr>
      <w:r>
        <w:t xml:space="preserve">If yes, would you be </w:t>
      </w:r>
      <w:r w:rsidR="00742D33">
        <w:t xml:space="preserve">likely to rely on the Internal Market Problem Solving Network (SOLVIT)? </w:t>
      </w:r>
      <w:r>
        <w:t xml:space="preserve">If not, what alternative might you pursue?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742D33" w:rsidRDefault="00742D33" w:rsidP="00D36556"/>
    <w:p w:rsidR="00D36556" w:rsidRDefault="00D36556" w:rsidP="00D36556"/>
    <w:p w:rsidR="00D36556" w:rsidRDefault="00D36556" w:rsidP="00D36556"/>
    <w:p w:rsidR="00D36556" w:rsidRDefault="00742D33" w:rsidP="00D36556">
      <w:pPr>
        <w:pStyle w:val="ListParagraph"/>
        <w:numPr>
          <w:ilvl w:val="0"/>
          <w:numId w:val="24"/>
        </w:numPr>
        <w:ind w:left="426"/>
      </w:pPr>
      <w:r>
        <w:lastRenderedPageBreak/>
        <w:t xml:space="preserve">How long would you expect a dispute resolution process to take?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742D33" w:rsidRDefault="00742D33" w:rsidP="00D36556"/>
    <w:p w:rsidR="00D36556" w:rsidRDefault="00467DAE" w:rsidP="00D36556">
      <w:pPr>
        <w:pStyle w:val="ListParagraph"/>
        <w:numPr>
          <w:ilvl w:val="0"/>
          <w:numId w:val="24"/>
        </w:numPr>
        <w:ind w:left="426"/>
      </w:pPr>
      <w:r>
        <w:t xml:space="preserve">Do you have any experience of using the SOLVIT system? If yes, what was your experience?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p w:rsidR="00D36556" w:rsidRDefault="00D36556" w:rsidP="00D36556"/>
        </w:tc>
      </w:tr>
    </w:tbl>
    <w:p w:rsidR="00467DAE" w:rsidRDefault="00467DAE" w:rsidP="00D36556"/>
    <w:p w:rsidR="00467DAE" w:rsidRDefault="00467DAE" w:rsidP="00D36556">
      <w:pPr>
        <w:pStyle w:val="ListParagraph"/>
        <w:numPr>
          <w:ilvl w:val="0"/>
          <w:numId w:val="24"/>
        </w:numPr>
        <w:ind w:left="426"/>
      </w:pPr>
      <w:r>
        <w:t xml:space="preserve">Would the proposed change, of allowing the Home SOLVIT Centre to request an opinion from the Commission, make you more likely or less likely (or no effect) to use the SOLVIT system?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467DAE" w:rsidRDefault="00467DAE" w:rsidP="00467DAE">
      <w:r>
        <w:rPr>
          <w:i/>
        </w:rPr>
        <w:t>Product Contact Points (PCPs)</w:t>
      </w:r>
    </w:p>
    <w:p w:rsidR="00D36556" w:rsidRDefault="00467DAE" w:rsidP="00D36556">
      <w:pPr>
        <w:pStyle w:val="ListParagraph"/>
        <w:numPr>
          <w:ilvl w:val="0"/>
          <w:numId w:val="24"/>
        </w:numPr>
        <w:ind w:left="426"/>
      </w:pPr>
      <w:r>
        <w:t xml:space="preserve"> Were you aware that each Member State has a Product Contact Point (PCP) that can provide information about the national rules that apply in that market?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467DAE" w:rsidRDefault="00467DAE" w:rsidP="00D36556"/>
    <w:p w:rsidR="00D36556" w:rsidRDefault="00467DAE" w:rsidP="00D36556">
      <w:pPr>
        <w:pStyle w:val="ListParagraph"/>
        <w:numPr>
          <w:ilvl w:val="0"/>
          <w:numId w:val="24"/>
        </w:numPr>
        <w:ind w:left="426"/>
      </w:pPr>
      <w:r>
        <w:t xml:space="preserve">If yes, have you ever used a PCP, in either the UK or another Member State? How was your experience?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467DAE" w:rsidRDefault="00467DAE" w:rsidP="00D36556"/>
    <w:p w:rsidR="00467DAE" w:rsidRDefault="00467DAE" w:rsidP="00D36556">
      <w:pPr>
        <w:pStyle w:val="ListParagraph"/>
        <w:numPr>
          <w:ilvl w:val="0"/>
          <w:numId w:val="24"/>
        </w:numPr>
        <w:ind w:left="426"/>
      </w:pPr>
      <w:r>
        <w:t xml:space="preserve">Would you change anything about the service offered by PCPs? </w:t>
      </w:r>
    </w:p>
    <w:tbl>
      <w:tblPr>
        <w:tblStyle w:val="TableGrid"/>
        <w:tblW w:w="0" w:type="auto"/>
        <w:tblLook w:val="04A0" w:firstRow="1" w:lastRow="0" w:firstColumn="1" w:lastColumn="0" w:noHBand="0" w:noVBand="1"/>
      </w:tblPr>
      <w:tblGrid>
        <w:gridCol w:w="9854"/>
      </w:tblGrid>
      <w:tr w:rsidR="00D36556" w:rsidTr="00D36556">
        <w:tc>
          <w:tcPr>
            <w:tcW w:w="9854" w:type="dxa"/>
          </w:tcPr>
          <w:p w:rsidR="00D36556" w:rsidRDefault="00D36556" w:rsidP="00D36556"/>
        </w:tc>
      </w:tr>
    </w:tbl>
    <w:p w:rsidR="00D36556" w:rsidRDefault="00D36556" w:rsidP="00D36556"/>
    <w:p w:rsidR="00D36556" w:rsidRDefault="00D36556" w:rsidP="00D36556">
      <w:pPr>
        <w:jc w:val="center"/>
        <w:rPr>
          <w:b/>
        </w:rPr>
      </w:pPr>
      <w:r>
        <w:rPr>
          <w:b/>
        </w:rPr>
        <w:lastRenderedPageBreak/>
        <w:t>Annex A: Proposed Voluntary Mutual Recognition Declaration</w:t>
      </w:r>
    </w:p>
    <w:p w:rsidR="00D36556" w:rsidRDefault="00D36556" w:rsidP="00D36556">
      <w:pPr>
        <w:rPr>
          <w:rFonts w:ascii="Times New Roman" w:hAnsi="Times New Roman"/>
        </w:rPr>
      </w:pPr>
      <w:r w:rsidRPr="00D36556">
        <w:rPr>
          <w:rFonts w:ascii="Times New Roman" w:hAnsi="Times New Roman"/>
        </w:rPr>
        <w:t xml:space="preserve">Mutual </w:t>
      </w:r>
      <w:r>
        <w:rPr>
          <w:rFonts w:ascii="Times New Roman" w:hAnsi="Times New Roman"/>
        </w:rPr>
        <w:t xml:space="preserve">recognition declaration for the purposes of Regulation [XXX/YYYY] </w:t>
      </w:r>
    </w:p>
    <w:p w:rsidR="00D36556" w:rsidRPr="00025683" w:rsidRDefault="002E5123" w:rsidP="00025683">
      <w:pPr>
        <w:pStyle w:val="ListParagraph"/>
        <w:numPr>
          <w:ilvl w:val="0"/>
          <w:numId w:val="27"/>
        </w:numPr>
        <w:ind w:left="426"/>
        <w:rPr>
          <w:rFonts w:ascii="Times New Roman" w:hAnsi="Times New Roman"/>
        </w:rPr>
      </w:pPr>
      <w:r w:rsidRPr="00025683">
        <w:rPr>
          <w:rFonts w:ascii="Times New Roman" w:hAnsi="Times New Roman"/>
        </w:rPr>
        <w:t xml:space="preserve">Unique identifier for the goods or type of goods: [Note: insert the goods number or other reference market that uniquely identifies the goods or type of goods] </w:t>
      </w:r>
      <w:r w:rsidR="00025683">
        <w:rPr>
          <w:rFonts w:ascii="Times New Roman" w:hAnsi="Times New Roman"/>
        </w:rPr>
        <w:br/>
      </w:r>
    </w:p>
    <w:p w:rsidR="002E5123" w:rsidRPr="00025683" w:rsidRDefault="002E5123" w:rsidP="00025683">
      <w:pPr>
        <w:pStyle w:val="ListParagraph"/>
        <w:numPr>
          <w:ilvl w:val="0"/>
          <w:numId w:val="27"/>
        </w:numPr>
        <w:ind w:left="426"/>
        <w:rPr>
          <w:rFonts w:ascii="Times New Roman" w:hAnsi="Times New Roman"/>
        </w:rPr>
      </w:pPr>
      <w:r w:rsidRPr="00025683">
        <w:rPr>
          <w:rFonts w:ascii="Times New Roman" w:hAnsi="Times New Roman"/>
        </w:rPr>
        <w:t xml:space="preserve">Name and address of the producer or his authorised representative: </w:t>
      </w:r>
      <w:r w:rsidR="00025683">
        <w:rPr>
          <w:rFonts w:ascii="Times New Roman" w:hAnsi="Times New Roman"/>
        </w:rPr>
        <w:br/>
      </w:r>
    </w:p>
    <w:p w:rsidR="00025683" w:rsidRDefault="002E5123" w:rsidP="00025683">
      <w:pPr>
        <w:pStyle w:val="ListParagraph"/>
        <w:numPr>
          <w:ilvl w:val="0"/>
          <w:numId w:val="27"/>
        </w:numPr>
        <w:ind w:left="426"/>
        <w:rPr>
          <w:rFonts w:ascii="Times New Roman" w:hAnsi="Times New Roman"/>
        </w:rPr>
      </w:pPr>
      <w:r w:rsidRPr="00025683">
        <w:rPr>
          <w:rFonts w:ascii="Times New Roman" w:hAnsi="Times New Roman"/>
        </w:rPr>
        <w:t xml:space="preserve">Description of the goods or type of goods subject of the declaration: [Note: the description should be sufficient to enable the goods to be identified for traceability reasons. It may be accompanied by a photograph, where appropriate] </w:t>
      </w:r>
      <w:r w:rsidR="00025683">
        <w:rPr>
          <w:rFonts w:ascii="Times New Roman" w:hAnsi="Times New Roman"/>
        </w:rPr>
        <w:br/>
      </w:r>
    </w:p>
    <w:p w:rsidR="002E5123" w:rsidRPr="00025683" w:rsidRDefault="002E5123" w:rsidP="00025683">
      <w:pPr>
        <w:pStyle w:val="ListParagraph"/>
        <w:numPr>
          <w:ilvl w:val="0"/>
          <w:numId w:val="27"/>
        </w:numPr>
        <w:ind w:left="426"/>
        <w:rPr>
          <w:rFonts w:ascii="Times New Roman" w:hAnsi="Times New Roman"/>
          <w:i/>
        </w:rPr>
      </w:pPr>
      <w:r w:rsidRPr="00025683">
        <w:rPr>
          <w:rFonts w:ascii="Times New Roman" w:hAnsi="Times New Roman"/>
          <w:i/>
        </w:rPr>
        <w:t xml:space="preserve">Declaration and information on the lawfulness of the marketing of the goods or type of goods: </w:t>
      </w:r>
    </w:p>
    <w:p w:rsidR="002E5123" w:rsidRDefault="002E5123" w:rsidP="002E5123">
      <w:pPr>
        <w:ind w:left="426" w:hanging="426"/>
        <w:rPr>
          <w:rFonts w:ascii="Times New Roman" w:hAnsi="Times New Roman"/>
        </w:rPr>
      </w:pPr>
      <w:r w:rsidRPr="002E5123">
        <w:rPr>
          <w:rFonts w:ascii="Times New Roman" w:hAnsi="Times New Roman"/>
        </w:rPr>
        <w:t xml:space="preserve">4.1 The goods or type of goods described above comply with the relevant rules applicable in the Member State identified </w:t>
      </w:r>
      <w:r>
        <w:rPr>
          <w:rFonts w:ascii="Times New Roman" w:hAnsi="Times New Roman"/>
        </w:rPr>
        <w:t xml:space="preserve">below: The title, in each case, of the relevant rules applicable in that Member State: </w:t>
      </w:r>
    </w:p>
    <w:p w:rsidR="002E5123" w:rsidRDefault="002E5123" w:rsidP="002E5123">
      <w:pPr>
        <w:ind w:left="426" w:hanging="426"/>
        <w:rPr>
          <w:rFonts w:ascii="Times New Roman" w:hAnsi="Times New Roman"/>
        </w:rPr>
      </w:pPr>
      <w:r>
        <w:rPr>
          <w:rFonts w:ascii="Times New Roman" w:hAnsi="Times New Roman"/>
        </w:rPr>
        <w:t>4.2 Reference of the conformity assessment procedure applicable to the goods or type of goods, and/or of any tests performed by a conformity assessment body (</w:t>
      </w:r>
      <w:r>
        <w:rPr>
          <w:rFonts w:ascii="Times New Roman" w:hAnsi="Times New Roman"/>
          <w:i/>
        </w:rPr>
        <w:t>if such procedure was carried out or if such tests were performed</w:t>
      </w:r>
      <w:r>
        <w:rPr>
          <w:rFonts w:ascii="Times New Roman" w:hAnsi="Times New Roman"/>
        </w:rPr>
        <w:t xml:space="preserve">): </w:t>
      </w:r>
    </w:p>
    <w:p w:rsidR="002E5123" w:rsidRDefault="002E5123" w:rsidP="002E5123">
      <w:pPr>
        <w:ind w:left="426" w:hanging="426"/>
      </w:pPr>
      <w:r>
        <w:rPr>
          <w:rFonts w:ascii="Times New Roman" w:hAnsi="Times New Roman"/>
        </w:rPr>
        <w:t xml:space="preserve">5. </w:t>
      </w:r>
      <w:r>
        <w:rPr>
          <w:rFonts w:ascii="Times New Roman" w:hAnsi="Times New Roman"/>
          <w:i/>
        </w:rPr>
        <w:t xml:space="preserve">Declaration and information on the </w:t>
      </w:r>
      <w:r>
        <w:rPr>
          <w:rFonts w:ascii="Times New Roman" w:hAnsi="Times New Roman"/>
          <w:b/>
          <w:i/>
        </w:rPr>
        <w:t xml:space="preserve">marketing </w:t>
      </w:r>
      <w:r>
        <w:rPr>
          <w:rFonts w:ascii="Times New Roman" w:hAnsi="Times New Roman"/>
          <w:i/>
        </w:rPr>
        <w:t>of the goods or type of goods:</w:t>
      </w:r>
    </w:p>
    <w:p w:rsidR="002E5123" w:rsidRDefault="002E5123" w:rsidP="002E5123">
      <w:pPr>
        <w:ind w:left="426" w:hanging="426"/>
        <w:rPr>
          <w:rFonts w:ascii="Times New Roman" w:hAnsi="Times New Roman"/>
        </w:rPr>
      </w:pPr>
      <w:r>
        <w:rPr>
          <w:rFonts w:ascii="Times New Roman" w:hAnsi="Times New Roman"/>
        </w:rPr>
        <w:t>5.</w:t>
      </w:r>
      <w:r w:rsidRPr="002E5123">
        <w:rPr>
          <w:rFonts w:ascii="Times New Roman" w:hAnsi="Times New Roman"/>
        </w:rPr>
        <w:t xml:space="preserve">1 </w:t>
      </w:r>
      <w:r>
        <w:rPr>
          <w:rFonts w:ascii="Times New Roman" w:hAnsi="Times New Roman"/>
        </w:rPr>
        <w:t xml:space="preserve">The goods or type of goods are made available to end users on the domestic market in a Member State. </w:t>
      </w:r>
    </w:p>
    <w:p w:rsidR="002E5123" w:rsidRDefault="002E5123" w:rsidP="002E5123">
      <w:pPr>
        <w:ind w:left="426" w:hanging="426"/>
        <w:rPr>
          <w:rFonts w:ascii="Times New Roman" w:hAnsi="Times New Roman"/>
        </w:rPr>
      </w:pPr>
      <w:r>
        <w:rPr>
          <w:rFonts w:ascii="Times New Roman" w:hAnsi="Times New Roman"/>
        </w:rPr>
        <w:t xml:space="preserve">5.2 Information that goods or type of goods are made available to the end users in that Member State, including details of the relevant Member State and of the date of when the goods were first made </w:t>
      </w:r>
      <w:r w:rsidR="00025683">
        <w:rPr>
          <w:rFonts w:ascii="Times New Roman" w:hAnsi="Times New Roman"/>
        </w:rPr>
        <w:t xml:space="preserve">available to end users on the domestic market in that Member State: </w:t>
      </w:r>
    </w:p>
    <w:p w:rsidR="00025683" w:rsidRDefault="00025683" w:rsidP="002E5123">
      <w:pPr>
        <w:ind w:left="426" w:hanging="426"/>
        <w:rPr>
          <w:rFonts w:ascii="Times New Roman" w:hAnsi="Times New Roman"/>
        </w:rPr>
      </w:pPr>
      <w:r>
        <w:rPr>
          <w:rFonts w:ascii="Times New Roman" w:hAnsi="Times New Roman"/>
        </w:rPr>
        <w:t>6. Any additional information considered relevant to an assessment of whether the goods or type of goods are lawfully marketed in that Member State</w:t>
      </w:r>
    </w:p>
    <w:p w:rsidR="00025683" w:rsidRDefault="00025683" w:rsidP="002E5123">
      <w:pPr>
        <w:ind w:left="426" w:hanging="426"/>
        <w:rPr>
          <w:rFonts w:ascii="Times New Roman" w:hAnsi="Times New Roman"/>
        </w:rPr>
      </w:pPr>
      <w:r>
        <w:rPr>
          <w:rFonts w:ascii="Times New Roman" w:hAnsi="Times New Roman"/>
        </w:rPr>
        <w:t xml:space="preserve">7. This declaration is issued under the sole responsibility of the signatories: </w:t>
      </w:r>
    </w:p>
    <w:p w:rsidR="00025683" w:rsidRDefault="00025683" w:rsidP="002E5123">
      <w:pPr>
        <w:ind w:left="426" w:hanging="426"/>
        <w:rPr>
          <w:rFonts w:ascii="Times New Roman" w:hAnsi="Times New Roman"/>
        </w:rPr>
      </w:pPr>
    </w:p>
    <w:p w:rsidR="00025683" w:rsidRDefault="00025683" w:rsidP="00025683">
      <w:pPr>
        <w:spacing w:after="0"/>
        <w:ind w:left="425" w:hanging="425"/>
        <w:rPr>
          <w:rFonts w:ascii="Times New Roman" w:hAnsi="Times New Roman"/>
        </w:rPr>
      </w:pPr>
      <w:r>
        <w:rPr>
          <w:rFonts w:ascii="Times New Roman" w:hAnsi="Times New Roman"/>
        </w:rPr>
        <w:t>Signed for and on behalf of</w:t>
      </w:r>
    </w:p>
    <w:p w:rsidR="00025683" w:rsidRDefault="00025683" w:rsidP="00025683">
      <w:pPr>
        <w:spacing w:after="0"/>
        <w:ind w:left="425" w:hanging="425"/>
        <w:rPr>
          <w:rFonts w:ascii="Times New Roman" w:hAnsi="Times New Roman"/>
        </w:rPr>
      </w:pPr>
      <w:r>
        <w:rPr>
          <w:rFonts w:ascii="Times New Roman" w:hAnsi="Times New Roman"/>
        </w:rPr>
        <w:t>(</w:t>
      </w:r>
      <w:proofErr w:type="gramStart"/>
      <w:r>
        <w:rPr>
          <w:rFonts w:ascii="Times New Roman" w:hAnsi="Times New Roman"/>
        </w:rPr>
        <w:t>place</w:t>
      </w:r>
      <w:proofErr w:type="gramEnd"/>
      <w:r>
        <w:rPr>
          <w:rFonts w:ascii="Times New Roman" w:hAnsi="Times New Roman"/>
        </w:rPr>
        <w:t xml:space="preserve"> and date of issue): </w:t>
      </w:r>
    </w:p>
    <w:p w:rsidR="00025683" w:rsidRDefault="00025683" w:rsidP="00025683">
      <w:pPr>
        <w:spacing w:after="0"/>
        <w:ind w:left="425" w:hanging="425"/>
        <w:rPr>
          <w:rFonts w:ascii="Times New Roman" w:hAnsi="Times New Roman"/>
        </w:rPr>
      </w:pPr>
      <w:r>
        <w:rPr>
          <w:rFonts w:ascii="Times New Roman" w:hAnsi="Times New Roman"/>
        </w:rPr>
        <w:t>(</w:t>
      </w:r>
      <w:proofErr w:type="gramStart"/>
      <w:r>
        <w:rPr>
          <w:rFonts w:ascii="Times New Roman" w:hAnsi="Times New Roman"/>
        </w:rPr>
        <w:t>name</w:t>
      </w:r>
      <w:proofErr w:type="gramEnd"/>
      <w:r>
        <w:rPr>
          <w:rFonts w:ascii="Times New Roman" w:hAnsi="Times New Roman"/>
        </w:rPr>
        <w:t>, function) (</w:t>
      </w:r>
      <w:proofErr w:type="gramStart"/>
      <w:r>
        <w:rPr>
          <w:rFonts w:ascii="Times New Roman" w:hAnsi="Times New Roman"/>
        </w:rPr>
        <w:t>signature</w:t>
      </w:r>
      <w:proofErr w:type="gramEnd"/>
      <w:r>
        <w:rPr>
          <w:rFonts w:ascii="Times New Roman" w:hAnsi="Times New Roman"/>
        </w:rPr>
        <w:t xml:space="preserve">): </w:t>
      </w:r>
    </w:p>
    <w:p w:rsidR="00025683" w:rsidRDefault="00025683" w:rsidP="00025683">
      <w:pPr>
        <w:spacing w:after="0"/>
        <w:ind w:left="425" w:hanging="425"/>
        <w:rPr>
          <w:rFonts w:ascii="Times New Roman" w:hAnsi="Times New Roman"/>
        </w:rPr>
      </w:pPr>
    </w:p>
    <w:p w:rsidR="00025683" w:rsidRDefault="00025683" w:rsidP="00025683">
      <w:pPr>
        <w:spacing w:after="0"/>
        <w:ind w:left="425" w:hanging="425"/>
        <w:rPr>
          <w:rFonts w:ascii="Times New Roman" w:hAnsi="Times New Roman"/>
        </w:rPr>
      </w:pPr>
      <w:r>
        <w:rPr>
          <w:rFonts w:ascii="Times New Roman" w:hAnsi="Times New Roman"/>
          <w:i/>
        </w:rPr>
        <w:t xml:space="preserve">And if another economic operator fills in point 5: </w:t>
      </w:r>
    </w:p>
    <w:p w:rsidR="00025683" w:rsidRDefault="00025683" w:rsidP="00025683">
      <w:pPr>
        <w:spacing w:after="0"/>
        <w:ind w:left="425" w:hanging="425"/>
        <w:rPr>
          <w:rFonts w:ascii="Times New Roman" w:hAnsi="Times New Roman"/>
        </w:rPr>
      </w:pPr>
      <w:r>
        <w:rPr>
          <w:rFonts w:ascii="Times New Roman" w:hAnsi="Times New Roman"/>
        </w:rPr>
        <w:t xml:space="preserve">Signed for and on behalf of: </w:t>
      </w:r>
    </w:p>
    <w:p w:rsidR="00025683" w:rsidRDefault="00025683" w:rsidP="00025683">
      <w:pPr>
        <w:spacing w:after="0"/>
        <w:ind w:left="425" w:hanging="425"/>
        <w:rPr>
          <w:rFonts w:ascii="Times New Roman" w:hAnsi="Times New Roman"/>
        </w:rPr>
      </w:pPr>
      <w:r>
        <w:rPr>
          <w:rFonts w:ascii="Times New Roman" w:hAnsi="Times New Roman"/>
        </w:rPr>
        <w:t>(</w:t>
      </w:r>
      <w:proofErr w:type="gramStart"/>
      <w:r>
        <w:rPr>
          <w:rFonts w:ascii="Times New Roman" w:hAnsi="Times New Roman"/>
        </w:rPr>
        <w:t>place</w:t>
      </w:r>
      <w:proofErr w:type="gramEnd"/>
      <w:r>
        <w:rPr>
          <w:rFonts w:ascii="Times New Roman" w:hAnsi="Times New Roman"/>
        </w:rPr>
        <w:t xml:space="preserve"> and date of issue) </w:t>
      </w:r>
    </w:p>
    <w:p w:rsidR="00025683" w:rsidRPr="00025683" w:rsidRDefault="00025683" w:rsidP="00025683">
      <w:pPr>
        <w:spacing w:after="0"/>
        <w:ind w:left="425" w:hanging="425"/>
        <w:rPr>
          <w:rFonts w:ascii="Times New Roman" w:hAnsi="Times New Roman"/>
        </w:rPr>
      </w:pPr>
      <w:r>
        <w:rPr>
          <w:rFonts w:ascii="Times New Roman" w:hAnsi="Times New Roman"/>
        </w:rPr>
        <w:t>(</w:t>
      </w:r>
      <w:proofErr w:type="gramStart"/>
      <w:r>
        <w:rPr>
          <w:rFonts w:ascii="Times New Roman" w:hAnsi="Times New Roman"/>
        </w:rPr>
        <w:t>name</w:t>
      </w:r>
      <w:proofErr w:type="gramEnd"/>
      <w:r>
        <w:rPr>
          <w:rFonts w:ascii="Times New Roman" w:hAnsi="Times New Roman"/>
        </w:rPr>
        <w:t>, function) (</w:t>
      </w:r>
      <w:proofErr w:type="gramStart"/>
      <w:r>
        <w:rPr>
          <w:rFonts w:ascii="Times New Roman" w:hAnsi="Times New Roman"/>
        </w:rPr>
        <w:t>signature</w:t>
      </w:r>
      <w:proofErr w:type="gramEnd"/>
      <w:r>
        <w:rPr>
          <w:rFonts w:ascii="Times New Roman" w:hAnsi="Times New Roman"/>
        </w:rPr>
        <w:t xml:space="preserve">) </w:t>
      </w:r>
    </w:p>
    <w:sectPr w:rsidR="00025683" w:rsidRPr="00025683" w:rsidSect="00D36556">
      <w:headerReference w:type="default" r:id="rId10"/>
      <w:headerReference w:type="first" r:id="rId11"/>
      <w:pgSz w:w="11906" w:h="16838" w:code="9"/>
      <w:pgMar w:top="1701" w:right="1134" w:bottom="1134" w:left="1134" w:header="567" w:footer="26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24E" w:rsidRDefault="007B124E">
      <w:r>
        <w:separator/>
      </w:r>
    </w:p>
  </w:endnote>
  <w:endnote w:type="continuationSeparator" w:id="0">
    <w:p w:rsidR="007B124E" w:rsidRDefault="007B1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24E" w:rsidRDefault="007B124E">
      <w:r>
        <w:separator/>
      </w:r>
    </w:p>
  </w:footnote>
  <w:footnote w:type="continuationSeparator" w:id="0">
    <w:p w:rsidR="007B124E" w:rsidRDefault="007B124E">
      <w:r>
        <w:continuationSeparator/>
      </w:r>
    </w:p>
  </w:footnote>
  <w:footnote w:id="1">
    <w:p w:rsidR="00454803" w:rsidRDefault="00454803">
      <w:pPr>
        <w:pStyle w:val="FootnoteText"/>
      </w:pPr>
      <w:r>
        <w:rPr>
          <w:rStyle w:val="FootnoteReference"/>
        </w:rPr>
        <w:footnoteRef/>
      </w:r>
      <w:r>
        <w:t xml:space="preserve"> Regulation (EC) No 764/2008 entered into force from 13 May 2009.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556" w:rsidRDefault="00D36556">
    <w:pPr>
      <w:pStyle w:val="Header"/>
    </w:pPr>
    <w:r>
      <w:rPr>
        <w:noProof/>
        <w:lang w:eastAsia="en-GB"/>
      </w:rPr>
      <w:drawing>
        <wp:inline distT="0" distB="0" distL="0" distR="0" wp14:anchorId="3C439173" wp14:editId="072FCA91">
          <wp:extent cx="5851677" cy="329157"/>
          <wp:effectExtent l="0" t="0" r="0" b="0"/>
          <wp:docPr id="3" name="Picture 3" descr="Logo - Department for Business, Energy and Industrial Strategy (BE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t-for-business--energy-and-industry-strategy.png"/>
                  <pic:cNvPicPr/>
                </pic:nvPicPr>
                <pic:blipFill>
                  <a:blip r:embed="rId1">
                    <a:extLst>
                      <a:ext uri="{28A0092B-C50C-407E-A947-70E740481C1C}">
                        <a14:useLocalDpi xmlns:a14="http://schemas.microsoft.com/office/drawing/2010/main" val="0"/>
                      </a:ext>
                    </a:extLst>
                  </a:blip>
                  <a:stretch>
                    <a:fillRect/>
                  </a:stretch>
                </pic:blipFill>
                <pic:spPr>
                  <a:xfrm>
                    <a:off x="0" y="0"/>
                    <a:ext cx="5851677" cy="329157"/>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CDA" w:rsidRPr="00015C4E" w:rsidRDefault="00733AFE" w:rsidP="00FE1D94">
    <w:pPr>
      <w:spacing w:after="0"/>
    </w:pPr>
    <w:r>
      <w:rPr>
        <w:noProof/>
        <w:lang w:eastAsia="en-GB"/>
      </w:rPr>
      <w:drawing>
        <wp:inline distT="0" distB="0" distL="0" distR="0" wp14:anchorId="74518088" wp14:editId="75BCD77E">
          <wp:extent cx="5851677" cy="329157"/>
          <wp:effectExtent l="0" t="0" r="0" b="0"/>
          <wp:docPr id="2" name="Picture 2" descr="Logo - Department for Business, Energy and Industrial Strategy (BE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t-for-business--energy-and-industry-strategy.png"/>
                  <pic:cNvPicPr/>
                </pic:nvPicPr>
                <pic:blipFill>
                  <a:blip r:embed="rId1">
                    <a:extLst>
                      <a:ext uri="{28A0092B-C50C-407E-A947-70E740481C1C}">
                        <a14:useLocalDpi xmlns:a14="http://schemas.microsoft.com/office/drawing/2010/main" val="0"/>
                      </a:ext>
                    </a:extLst>
                  </a:blip>
                  <a:stretch>
                    <a:fillRect/>
                  </a:stretch>
                </pic:blipFill>
                <pic:spPr>
                  <a:xfrm>
                    <a:off x="0" y="0"/>
                    <a:ext cx="5851677" cy="329157"/>
                  </a:xfrm>
                  <a:prstGeom prst="rect">
                    <a:avLst/>
                  </a:prstGeom>
                </pic:spPr>
              </pic:pic>
            </a:graphicData>
          </a:graphic>
        </wp:inline>
      </w:drawing>
    </w:r>
    <w:r w:rsidR="00406CDA">
      <w:rPr>
        <w:noProof/>
        <w:lang w:eastAsia="en-GB"/>
      </w:rPr>
      <mc:AlternateContent>
        <mc:Choice Requires="wps">
          <w:drawing>
            <wp:anchor distT="0" distB="0" distL="114300" distR="114300" simplePos="0" relativeHeight="251658240" behindDoc="1" locked="0" layoutInCell="1" allowOverlap="1" wp14:anchorId="68A3E0CD" wp14:editId="71F40531">
              <wp:simplePos x="0" y="0"/>
              <wp:positionH relativeFrom="page">
                <wp:posOffset>0</wp:posOffset>
              </wp:positionH>
              <wp:positionV relativeFrom="page">
                <wp:posOffset>0</wp:posOffset>
              </wp:positionV>
              <wp:extent cx="7560310" cy="1069213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noFill/>
                      <a:ln w="9525">
                        <a:solidFill>
                          <a:srgbClr val="003478"/>
                        </a:solidFill>
                        <a:miter lim="800000"/>
                        <a:headEnd/>
                        <a:tailEnd/>
                      </a:ln>
                      <a:extLst>
                        <a:ext uri="{909E8E84-426E-40DD-AFC4-6F175D3DCCD1}">
                          <a14:hiddenFill xmlns:a14="http://schemas.microsoft.com/office/drawing/2010/main">
                            <a:solidFill>
                              <a:srgbClr val="003478"/>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6B9CA" id="Rectangle 4" o:spid="_x0000_s1026" style="position:absolute;margin-left:0;margin-top:0;width:595.3pt;height:84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" filled="f" fillcolor="#003478" strokecolor="#003478">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C8E590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42A649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48F0B4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D5EF532"/>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EEEA2C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74226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8CF8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A1E76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5411D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7A56C2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DC2A4A"/>
    <w:multiLevelType w:val="hybridMultilevel"/>
    <w:tmpl w:val="368C1B3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0AB15824"/>
    <w:multiLevelType w:val="multilevel"/>
    <w:tmpl w:val="FE105B6C"/>
    <w:styleLink w:val="StyleOutlinenumberedLeft089cmHanging063cm"/>
    <w:lvl w:ilvl="0">
      <w:start w:val="1"/>
      <w:numFmt w:val="decimal"/>
      <w:lvlText w:val="%1."/>
      <w:lvlJc w:val="left"/>
      <w:pPr>
        <w:ind w:left="567"/>
      </w:pPr>
      <w:rPr>
        <w:rFonts w:ascii="Arial" w:hAnsi="Arial" w:cs="Times New Roman"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2" w15:restartNumberingAfterBreak="0">
    <w:nsid w:val="0E034438"/>
    <w:multiLevelType w:val="hybridMultilevel"/>
    <w:tmpl w:val="07080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8D0CC8"/>
    <w:multiLevelType w:val="hybridMultilevel"/>
    <w:tmpl w:val="3F6C80B2"/>
    <w:lvl w:ilvl="0" w:tplc="C9045974">
      <w:start w:val="1"/>
      <w:numFmt w:val="bullet"/>
      <w:pStyle w:val="ListBullet"/>
      <w:lvlText w:val=""/>
      <w:lvlJc w:val="left"/>
      <w:pPr>
        <w:tabs>
          <w:tab w:val="num" w:pos="284"/>
        </w:tabs>
        <w:ind w:left="284" w:hanging="284"/>
      </w:pPr>
      <w:rPr>
        <w:rFonts w:ascii="Symbol" w:hAnsi="Symbol" w:hint="default"/>
        <w:color w:val="000000"/>
        <w:sz w:val="24"/>
      </w:rPr>
    </w:lvl>
    <w:lvl w:ilvl="1" w:tplc="08090003">
      <w:start w:val="1"/>
      <w:numFmt w:val="bullet"/>
      <w:lvlText w:val="o"/>
      <w:lvlJc w:val="left"/>
      <w:pPr>
        <w:tabs>
          <w:tab w:val="num" w:pos="1327"/>
        </w:tabs>
        <w:ind w:left="1327" w:hanging="360"/>
      </w:pPr>
      <w:rPr>
        <w:rFonts w:ascii="Courier New" w:hAnsi="Courier New" w:hint="default"/>
      </w:rPr>
    </w:lvl>
    <w:lvl w:ilvl="2" w:tplc="08090005" w:tentative="1">
      <w:start w:val="1"/>
      <w:numFmt w:val="bullet"/>
      <w:lvlText w:val=""/>
      <w:lvlJc w:val="left"/>
      <w:pPr>
        <w:tabs>
          <w:tab w:val="num" w:pos="2047"/>
        </w:tabs>
        <w:ind w:left="2047" w:hanging="360"/>
      </w:pPr>
      <w:rPr>
        <w:rFonts w:ascii="Wingdings" w:hAnsi="Wingdings" w:hint="default"/>
      </w:rPr>
    </w:lvl>
    <w:lvl w:ilvl="3" w:tplc="08090001" w:tentative="1">
      <w:start w:val="1"/>
      <w:numFmt w:val="bullet"/>
      <w:lvlText w:val=""/>
      <w:lvlJc w:val="left"/>
      <w:pPr>
        <w:tabs>
          <w:tab w:val="num" w:pos="2767"/>
        </w:tabs>
        <w:ind w:left="2767" w:hanging="360"/>
      </w:pPr>
      <w:rPr>
        <w:rFonts w:ascii="Symbol" w:hAnsi="Symbol" w:hint="default"/>
      </w:rPr>
    </w:lvl>
    <w:lvl w:ilvl="4" w:tplc="08090003" w:tentative="1">
      <w:start w:val="1"/>
      <w:numFmt w:val="bullet"/>
      <w:lvlText w:val="o"/>
      <w:lvlJc w:val="left"/>
      <w:pPr>
        <w:tabs>
          <w:tab w:val="num" w:pos="3487"/>
        </w:tabs>
        <w:ind w:left="3487" w:hanging="360"/>
      </w:pPr>
      <w:rPr>
        <w:rFonts w:ascii="Courier New" w:hAnsi="Courier New" w:hint="default"/>
      </w:rPr>
    </w:lvl>
    <w:lvl w:ilvl="5" w:tplc="08090005" w:tentative="1">
      <w:start w:val="1"/>
      <w:numFmt w:val="bullet"/>
      <w:lvlText w:val=""/>
      <w:lvlJc w:val="left"/>
      <w:pPr>
        <w:tabs>
          <w:tab w:val="num" w:pos="4207"/>
        </w:tabs>
        <w:ind w:left="4207" w:hanging="360"/>
      </w:pPr>
      <w:rPr>
        <w:rFonts w:ascii="Wingdings" w:hAnsi="Wingdings" w:hint="default"/>
      </w:rPr>
    </w:lvl>
    <w:lvl w:ilvl="6" w:tplc="08090001" w:tentative="1">
      <w:start w:val="1"/>
      <w:numFmt w:val="bullet"/>
      <w:lvlText w:val=""/>
      <w:lvlJc w:val="left"/>
      <w:pPr>
        <w:tabs>
          <w:tab w:val="num" w:pos="4927"/>
        </w:tabs>
        <w:ind w:left="4927" w:hanging="360"/>
      </w:pPr>
      <w:rPr>
        <w:rFonts w:ascii="Symbol" w:hAnsi="Symbol" w:hint="default"/>
      </w:rPr>
    </w:lvl>
    <w:lvl w:ilvl="7" w:tplc="08090003" w:tentative="1">
      <w:start w:val="1"/>
      <w:numFmt w:val="bullet"/>
      <w:lvlText w:val="o"/>
      <w:lvlJc w:val="left"/>
      <w:pPr>
        <w:tabs>
          <w:tab w:val="num" w:pos="5647"/>
        </w:tabs>
        <w:ind w:left="5647" w:hanging="360"/>
      </w:pPr>
      <w:rPr>
        <w:rFonts w:ascii="Courier New" w:hAnsi="Courier New" w:hint="default"/>
      </w:rPr>
    </w:lvl>
    <w:lvl w:ilvl="8" w:tplc="08090005" w:tentative="1">
      <w:start w:val="1"/>
      <w:numFmt w:val="bullet"/>
      <w:lvlText w:val=""/>
      <w:lvlJc w:val="left"/>
      <w:pPr>
        <w:tabs>
          <w:tab w:val="num" w:pos="6367"/>
        </w:tabs>
        <w:ind w:left="6367" w:hanging="360"/>
      </w:pPr>
      <w:rPr>
        <w:rFonts w:ascii="Wingdings" w:hAnsi="Wingdings" w:hint="default"/>
      </w:rPr>
    </w:lvl>
  </w:abstractNum>
  <w:abstractNum w:abstractNumId="14" w15:restartNumberingAfterBreak="0">
    <w:nsid w:val="235C413B"/>
    <w:multiLevelType w:val="hybridMultilevel"/>
    <w:tmpl w:val="FE049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887258"/>
    <w:multiLevelType w:val="multilevel"/>
    <w:tmpl w:val="8F74D43C"/>
    <w:styleLink w:val="TableBullets"/>
    <w:lvl w:ilvl="0">
      <w:start w:val="1"/>
      <w:numFmt w:val="bullet"/>
      <w:lvlText w:val=""/>
      <w:lvlJc w:val="left"/>
      <w:pPr>
        <w:tabs>
          <w:tab w:val="num" w:pos="171"/>
        </w:tabs>
        <w:ind w:left="171" w:hanging="171"/>
      </w:pPr>
      <w:rPr>
        <w:rFonts w:ascii="Symbol" w:hAnsi="Symbol" w:hint="default"/>
        <w:color w:val="000000"/>
        <w:sz w:val="24"/>
      </w:rPr>
    </w:lvl>
    <w:lvl w:ilvl="1">
      <w:start w:val="1"/>
      <w:numFmt w:val="bullet"/>
      <w:lvlText w:val=""/>
      <w:lvlJc w:val="left"/>
      <w:pPr>
        <w:tabs>
          <w:tab w:val="num" w:pos="113"/>
        </w:tabs>
        <w:ind w:left="227" w:hanging="114"/>
      </w:pPr>
      <w:rPr>
        <w:rFonts w:ascii="Symbol" w:hAnsi="Symbol"/>
        <w:color w:val="000000"/>
        <w:sz w:val="24"/>
      </w:rPr>
    </w:lvl>
    <w:lvl w:ilvl="2">
      <w:start w:val="1"/>
      <w:numFmt w:val="bullet"/>
      <w:lvlText w:val=""/>
      <w:lvlJc w:val="left"/>
      <w:pPr>
        <w:tabs>
          <w:tab w:val="num" w:pos="2047"/>
        </w:tabs>
        <w:ind w:left="2047" w:hanging="360"/>
      </w:pPr>
      <w:rPr>
        <w:rFonts w:ascii="Wingdings" w:hAnsi="Wingdings" w:hint="default"/>
      </w:rPr>
    </w:lvl>
    <w:lvl w:ilvl="3">
      <w:start w:val="1"/>
      <w:numFmt w:val="bullet"/>
      <w:lvlText w:val=""/>
      <w:lvlJc w:val="left"/>
      <w:pPr>
        <w:tabs>
          <w:tab w:val="num" w:pos="2767"/>
        </w:tabs>
        <w:ind w:left="2767" w:hanging="360"/>
      </w:pPr>
      <w:rPr>
        <w:rFonts w:ascii="Symbol" w:hAnsi="Symbol" w:hint="default"/>
      </w:rPr>
    </w:lvl>
    <w:lvl w:ilvl="4">
      <w:start w:val="1"/>
      <w:numFmt w:val="bullet"/>
      <w:lvlText w:val="o"/>
      <w:lvlJc w:val="left"/>
      <w:pPr>
        <w:tabs>
          <w:tab w:val="num" w:pos="3487"/>
        </w:tabs>
        <w:ind w:left="3487" w:hanging="360"/>
      </w:pPr>
      <w:rPr>
        <w:rFonts w:ascii="Courier New" w:hAnsi="Courier New" w:hint="default"/>
      </w:rPr>
    </w:lvl>
    <w:lvl w:ilvl="5">
      <w:start w:val="1"/>
      <w:numFmt w:val="bullet"/>
      <w:lvlText w:val=""/>
      <w:lvlJc w:val="left"/>
      <w:pPr>
        <w:tabs>
          <w:tab w:val="num" w:pos="4207"/>
        </w:tabs>
        <w:ind w:left="4207" w:hanging="360"/>
      </w:pPr>
      <w:rPr>
        <w:rFonts w:ascii="Wingdings" w:hAnsi="Wingdings" w:hint="default"/>
      </w:rPr>
    </w:lvl>
    <w:lvl w:ilvl="6">
      <w:start w:val="1"/>
      <w:numFmt w:val="bullet"/>
      <w:lvlText w:val=""/>
      <w:lvlJc w:val="left"/>
      <w:pPr>
        <w:tabs>
          <w:tab w:val="num" w:pos="4927"/>
        </w:tabs>
        <w:ind w:left="4927" w:hanging="360"/>
      </w:pPr>
      <w:rPr>
        <w:rFonts w:ascii="Symbol" w:hAnsi="Symbol" w:hint="default"/>
      </w:rPr>
    </w:lvl>
    <w:lvl w:ilvl="7">
      <w:start w:val="1"/>
      <w:numFmt w:val="bullet"/>
      <w:lvlText w:val="o"/>
      <w:lvlJc w:val="left"/>
      <w:pPr>
        <w:tabs>
          <w:tab w:val="num" w:pos="5647"/>
        </w:tabs>
        <w:ind w:left="5647" w:hanging="360"/>
      </w:pPr>
      <w:rPr>
        <w:rFonts w:ascii="Courier New" w:hAnsi="Courier New" w:hint="default"/>
      </w:rPr>
    </w:lvl>
    <w:lvl w:ilvl="8">
      <w:start w:val="1"/>
      <w:numFmt w:val="bullet"/>
      <w:lvlText w:val=""/>
      <w:lvlJc w:val="left"/>
      <w:pPr>
        <w:tabs>
          <w:tab w:val="num" w:pos="6367"/>
        </w:tabs>
        <w:ind w:left="6367" w:hanging="360"/>
      </w:pPr>
      <w:rPr>
        <w:rFonts w:ascii="Wingdings" w:hAnsi="Wingdings" w:hint="default"/>
      </w:rPr>
    </w:lvl>
  </w:abstractNum>
  <w:abstractNum w:abstractNumId="16" w15:restartNumberingAfterBreak="0">
    <w:nsid w:val="2BAD4448"/>
    <w:multiLevelType w:val="hybridMultilevel"/>
    <w:tmpl w:val="31B2F0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7" w15:restartNumberingAfterBreak="0">
    <w:nsid w:val="2EAF1DBA"/>
    <w:multiLevelType w:val="hybridMultilevel"/>
    <w:tmpl w:val="21BC9AD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8" w15:restartNumberingAfterBreak="0">
    <w:nsid w:val="3CAD77E9"/>
    <w:multiLevelType w:val="hybridMultilevel"/>
    <w:tmpl w:val="FB327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8408A3"/>
    <w:multiLevelType w:val="hybridMultilevel"/>
    <w:tmpl w:val="DBF838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962BA5"/>
    <w:multiLevelType w:val="hybridMultilevel"/>
    <w:tmpl w:val="7BAC1D2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48677F"/>
    <w:multiLevelType w:val="hybridMultilevel"/>
    <w:tmpl w:val="9484F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F34C54"/>
    <w:multiLevelType w:val="hybridMultilevel"/>
    <w:tmpl w:val="231C6E2A"/>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1E3B21"/>
    <w:multiLevelType w:val="multilevel"/>
    <w:tmpl w:val="CD386BF2"/>
    <w:styleLink w:val="Numberlist"/>
    <w:lvl w:ilvl="0">
      <w:start w:val="1"/>
      <w:numFmt w:val="decimal"/>
      <w:lvlText w:val="%1."/>
      <w:lvlJc w:val="left"/>
      <w:pPr>
        <w:ind w:left="862" w:hanging="357"/>
      </w:pPr>
      <w:rPr>
        <w:rFonts w:ascii="Arial" w:hAnsi="Arial" w:cs="Times New Roman"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15:restartNumberingAfterBreak="0">
    <w:nsid w:val="73943769"/>
    <w:multiLevelType w:val="hybridMultilevel"/>
    <w:tmpl w:val="037CEE6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5CA136F"/>
    <w:multiLevelType w:val="hybridMultilevel"/>
    <w:tmpl w:val="BD8AD63C"/>
    <w:lvl w:ilvl="0" w:tplc="37541278">
      <w:start w:val="1"/>
      <w:numFmt w:val="bullet"/>
      <w:pStyle w:val="BISInsidebullets"/>
      <w:lvlText w:val=""/>
      <w:lvlJc w:val="left"/>
      <w:pPr>
        <w:tabs>
          <w:tab w:val="num" w:pos="360"/>
        </w:tabs>
        <w:ind w:left="360" w:hanging="360"/>
      </w:pPr>
      <w:rPr>
        <w:rFonts w:ascii="Wingdings 2" w:hAnsi="Wingdings 2" w:hint="default"/>
        <w:color w:val="FFFFFF"/>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8EC5099"/>
    <w:multiLevelType w:val="hybridMultilevel"/>
    <w:tmpl w:val="019CFAB2"/>
    <w:lvl w:ilvl="0" w:tplc="260846F8">
      <w:start w:val="1"/>
      <w:numFmt w:val="decimal"/>
      <w:pStyle w:val="Numberedparagraph"/>
      <w:lvlText w:val="%1."/>
      <w:lvlJc w:val="lef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num w:numId="1">
    <w:abstractNumId w:val="9"/>
  </w:num>
  <w:num w:numId="2">
    <w:abstractNumId w:val="25"/>
  </w:num>
  <w:num w:numId="3">
    <w:abstractNumId w:val="13"/>
  </w:num>
  <w:num w:numId="4">
    <w:abstractNumId w:val="15"/>
  </w:num>
  <w:num w:numId="5">
    <w:abstractNumId w:val="26"/>
  </w:num>
  <w:num w:numId="6">
    <w:abstractNumId w:val="23"/>
  </w:num>
  <w:num w:numId="7">
    <w:abstractNumId w:val="11"/>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24"/>
  </w:num>
  <w:num w:numId="19">
    <w:abstractNumId w:val="16"/>
  </w:num>
  <w:num w:numId="20">
    <w:abstractNumId w:val="17"/>
  </w:num>
  <w:num w:numId="21">
    <w:abstractNumId w:val="10"/>
  </w:num>
  <w:num w:numId="22">
    <w:abstractNumId w:val="19"/>
  </w:num>
  <w:num w:numId="23">
    <w:abstractNumId w:val="12"/>
  </w:num>
  <w:num w:numId="24">
    <w:abstractNumId w:val="18"/>
  </w:num>
  <w:num w:numId="25">
    <w:abstractNumId w:val="14"/>
  </w:num>
  <w:num w:numId="26">
    <w:abstractNumId w:val="22"/>
  </w:num>
  <w:num w:numId="2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stylePaneFormatFilter w:val="8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1"/>
  <w:stylePaneSortMethod w:val="0000"/>
  <w:documentProtection w:enforcement="0"/>
  <w:autoFormatOverride/>
  <w:styleLockTheme/>
  <w:styleLockQFSet/>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AFE"/>
    <w:rsid w:val="00006159"/>
    <w:rsid w:val="000132C2"/>
    <w:rsid w:val="00015C4E"/>
    <w:rsid w:val="00025683"/>
    <w:rsid w:val="00032087"/>
    <w:rsid w:val="00034384"/>
    <w:rsid w:val="00045601"/>
    <w:rsid w:val="00053C78"/>
    <w:rsid w:val="0005717F"/>
    <w:rsid w:val="000604AF"/>
    <w:rsid w:val="00062617"/>
    <w:rsid w:val="00072613"/>
    <w:rsid w:val="00086288"/>
    <w:rsid w:val="00091DE9"/>
    <w:rsid w:val="0009521D"/>
    <w:rsid w:val="00096FAD"/>
    <w:rsid w:val="000A01D3"/>
    <w:rsid w:val="000B6352"/>
    <w:rsid w:val="000B7B04"/>
    <w:rsid w:val="000C26E1"/>
    <w:rsid w:val="000C2C1D"/>
    <w:rsid w:val="000D2FDE"/>
    <w:rsid w:val="000D42C5"/>
    <w:rsid w:val="000E01D6"/>
    <w:rsid w:val="000E0D1F"/>
    <w:rsid w:val="000E1F17"/>
    <w:rsid w:val="000E50CC"/>
    <w:rsid w:val="000E7333"/>
    <w:rsid w:val="000F5F3C"/>
    <w:rsid w:val="00103A79"/>
    <w:rsid w:val="00103F41"/>
    <w:rsid w:val="0010466E"/>
    <w:rsid w:val="001100D6"/>
    <w:rsid w:val="00126F3C"/>
    <w:rsid w:val="0014731E"/>
    <w:rsid w:val="00155A9C"/>
    <w:rsid w:val="00162142"/>
    <w:rsid w:val="001634C8"/>
    <w:rsid w:val="001700BE"/>
    <w:rsid w:val="001705EB"/>
    <w:rsid w:val="001726DF"/>
    <w:rsid w:val="0018767B"/>
    <w:rsid w:val="00191B54"/>
    <w:rsid w:val="00193033"/>
    <w:rsid w:val="00194A4B"/>
    <w:rsid w:val="001A3ADE"/>
    <w:rsid w:val="001A3FE6"/>
    <w:rsid w:val="001C1FE5"/>
    <w:rsid w:val="001C78F8"/>
    <w:rsid w:val="001D610C"/>
    <w:rsid w:val="001D6D05"/>
    <w:rsid w:val="001E41A0"/>
    <w:rsid w:val="001E554A"/>
    <w:rsid w:val="001E79E8"/>
    <w:rsid w:val="001F0FF2"/>
    <w:rsid w:val="001F11B0"/>
    <w:rsid w:val="001F2C2F"/>
    <w:rsid w:val="001F4F63"/>
    <w:rsid w:val="00201B9C"/>
    <w:rsid w:val="002032DA"/>
    <w:rsid w:val="00210B5C"/>
    <w:rsid w:val="002127EF"/>
    <w:rsid w:val="00224C7F"/>
    <w:rsid w:val="0022504C"/>
    <w:rsid w:val="00226F71"/>
    <w:rsid w:val="00232B67"/>
    <w:rsid w:val="0023304D"/>
    <w:rsid w:val="00234815"/>
    <w:rsid w:val="00244FC1"/>
    <w:rsid w:val="002451F0"/>
    <w:rsid w:val="00246F54"/>
    <w:rsid w:val="0025397C"/>
    <w:rsid w:val="00263094"/>
    <w:rsid w:val="002670F6"/>
    <w:rsid w:val="00272572"/>
    <w:rsid w:val="00273593"/>
    <w:rsid w:val="002747CA"/>
    <w:rsid w:val="0028755F"/>
    <w:rsid w:val="00290372"/>
    <w:rsid w:val="00294C50"/>
    <w:rsid w:val="002A0605"/>
    <w:rsid w:val="002A31DF"/>
    <w:rsid w:val="002B5C80"/>
    <w:rsid w:val="002C3AFC"/>
    <w:rsid w:val="002D12B5"/>
    <w:rsid w:val="002D7C4C"/>
    <w:rsid w:val="002E5123"/>
    <w:rsid w:val="002E70DB"/>
    <w:rsid w:val="002F1CC6"/>
    <w:rsid w:val="002F1FF4"/>
    <w:rsid w:val="00300710"/>
    <w:rsid w:val="00307095"/>
    <w:rsid w:val="0031038D"/>
    <w:rsid w:val="003213B0"/>
    <w:rsid w:val="00324D1E"/>
    <w:rsid w:val="003318CE"/>
    <w:rsid w:val="00331FF7"/>
    <w:rsid w:val="00336FC1"/>
    <w:rsid w:val="0033791A"/>
    <w:rsid w:val="00341FA9"/>
    <w:rsid w:val="003451FB"/>
    <w:rsid w:val="00345BCB"/>
    <w:rsid w:val="0035223F"/>
    <w:rsid w:val="00352686"/>
    <w:rsid w:val="003654E6"/>
    <w:rsid w:val="00371895"/>
    <w:rsid w:val="00373222"/>
    <w:rsid w:val="00377603"/>
    <w:rsid w:val="00390385"/>
    <w:rsid w:val="003921D2"/>
    <w:rsid w:val="00396504"/>
    <w:rsid w:val="003966DE"/>
    <w:rsid w:val="003A3330"/>
    <w:rsid w:val="003A7616"/>
    <w:rsid w:val="003B321A"/>
    <w:rsid w:val="003C2743"/>
    <w:rsid w:val="003D57B6"/>
    <w:rsid w:val="003E26A0"/>
    <w:rsid w:val="003E6E7C"/>
    <w:rsid w:val="003F180F"/>
    <w:rsid w:val="003F35D6"/>
    <w:rsid w:val="003F6FD2"/>
    <w:rsid w:val="00404759"/>
    <w:rsid w:val="00406CDA"/>
    <w:rsid w:val="004304A6"/>
    <w:rsid w:val="00430D7B"/>
    <w:rsid w:val="0043287E"/>
    <w:rsid w:val="004367F6"/>
    <w:rsid w:val="00442169"/>
    <w:rsid w:val="0044797C"/>
    <w:rsid w:val="00452858"/>
    <w:rsid w:val="00454803"/>
    <w:rsid w:val="0046446D"/>
    <w:rsid w:val="00466610"/>
    <w:rsid w:val="00467B49"/>
    <w:rsid w:val="00467DAE"/>
    <w:rsid w:val="00472AF2"/>
    <w:rsid w:val="004805D2"/>
    <w:rsid w:val="00484140"/>
    <w:rsid w:val="00484B18"/>
    <w:rsid w:val="00485306"/>
    <w:rsid w:val="004A7500"/>
    <w:rsid w:val="004B10B7"/>
    <w:rsid w:val="004B1D44"/>
    <w:rsid w:val="004B45CA"/>
    <w:rsid w:val="004B68DA"/>
    <w:rsid w:val="004C44C7"/>
    <w:rsid w:val="004D53B4"/>
    <w:rsid w:val="004D6DE1"/>
    <w:rsid w:val="004E5B34"/>
    <w:rsid w:val="004E6E64"/>
    <w:rsid w:val="004F05C1"/>
    <w:rsid w:val="004F2A57"/>
    <w:rsid w:val="004F4F6E"/>
    <w:rsid w:val="004F5C6B"/>
    <w:rsid w:val="00523821"/>
    <w:rsid w:val="00533C58"/>
    <w:rsid w:val="0053548E"/>
    <w:rsid w:val="00545FB2"/>
    <w:rsid w:val="00546612"/>
    <w:rsid w:val="005729C4"/>
    <w:rsid w:val="00576565"/>
    <w:rsid w:val="005873F3"/>
    <w:rsid w:val="005917D7"/>
    <w:rsid w:val="005937E6"/>
    <w:rsid w:val="00595F47"/>
    <w:rsid w:val="005A169D"/>
    <w:rsid w:val="005A5354"/>
    <w:rsid w:val="005A6936"/>
    <w:rsid w:val="005B402C"/>
    <w:rsid w:val="005B5EA4"/>
    <w:rsid w:val="005B7AB9"/>
    <w:rsid w:val="005C11C2"/>
    <w:rsid w:val="005C13C4"/>
    <w:rsid w:val="005D1574"/>
    <w:rsid w:val="005D1862"/>
    <w:rsid w:val="005D361A"/>
    <w:rsid w:val="005D58CC"/>
    <w:rsid w:val="005D6632"/>
    <w:rsid w:val="005D7CA8"/>
    <w:rsid w:val="005E3265"/>
    <w:rsid w:val="005F064A"/>
    <w:rsid w:val="00615012"/>
    <w:rsid w:val="00615567"/>
    <w:rsid w:val="006234E0"/>
    <w:rsid w:val="00623D8F"/>
    <w:rsid w:val="00624791"/>
    <w:rsid w:val="00627DE3"/>
    <w:rsid w:val="006304BD"/>
    <w:rsid w:val="00632B1E"/>
    <w:rsid w:val="006437C0"/>
    <w:rsid w:val="00646737"/>
    <w:rsid w:val="00654138"/>
    <w:rsid w:val="00654A57"/>
    <w:rsid w:val="00660C9A"/>
    <w:rsid w:val="00661A05"/>
    <w:rsid w:val="006645DC"/>
    <w:rsid w:val="00671B8D"/>
    <w:rsid w:val="0068134A"/>
    <w:rsid w:val="0068185E"/>
    <w:rsid w:val="006824FB"/>
    <w:rsid w:val="00685868"/>
    <w:rsid w:val="00687DE2"/>
    <w:rsid w:val="00692FB1"/>
    <w:rsid w:val="006A08AA"/>
    <w:rsid w:val="006A0F10"/>
    <w:rsid w:val="006A1178"/>
    <w:rsid w:val="006A640A"/>
    <w:rsid w:val="006B26BB"/>
    <w:rsid w:val="006C1E05"/>
    <w:rsid w:val="006C2034"/>
    <w:rsid w:val="006D56FD"/>
    <w:rsid w:val="006D5937"/>
    <w:rsid w:val="006D7AAD"/>
    <w:rsid w:val="006E31F6"/>
    <w:rsid w:val="0070307F"/>
    <w:rsid w:val="007073CE"/>
    <w:rsid w:val="00711D7A"/>
    <w:rsid w:val="00720608"/>
    <w:rsid w:val="00724BD4"/>
    <w:rsid w:val="007263F1"/>
    <w:rsid w:val="007311E3"/>
    <w:rsid w:val="00733AFE"/>
    <w:rsid w:val="00740745"/>
    <w:rsid w:val="00742D33"/>
    <w:rsid w:val="00742E83"/>
    <w:rsid w:val="00743574"/>
    <w:rsid w:val="007464B0"/>
    <w:rsid w:val="007559C1"/>
    <w:rsid w:val="0076324E"/>
    <w:rsid w:val="007633BF"/>
    <w:rsid w:val="00765338"/>
    <w:rsid w:val="007771C1"/>
    <w:rsid w:val="007A4BA2"/>
    <w:rsid w:val="007B0F36"/>
    <w:rsid w:val="007B124E"/>
    <w:rsid w:val="007C3A0F"/>
    <w:rsid w:val="007D0048"/>
    <w:rsid w:val="007E5104"/>
    <w:rsid w:val="0082011F"/>
    <w:rsid w:val="00827FB8"/>
    <w:rsid w:val="00834D3E"/>
    <w:rsid w:val="008421F6"/>
    <w:rsid w:val="00845AC9"/>
    <w:rsid w:val="008564C2"/>
    <w:rsid w:val="008571A1"/>
    <w:rsid w:val="00861EEE"/>
    <w:rsid w:val="008637EB"/>
    <w:rsid w:val="00867CDB"/>
    <w:rsid w:val="00870986"/>
    <w:rsid w:val="0087154A"/>
    <w:rsid w:val="008724AD"/>
    <w:rsid w:val="00885FD3"/>
    <w:rsid w:val="00886547"/>
    <w:rsid w:val="008870C2"/>
    <w:rsid w:val="00887C02"/>
    <w:rsid w:val="008A0703"/>
    <w:rsid w:val="008A3E99"/>
    <w:rsid w:val="008A7BD8"/>
    <w:rsid w:val="008B49B1"/>
    <w:rsid w:val="008B723C"/>
    <w:rsid w:val="008C6170"/>
    <w:rsid w:val="008D33F4"/>
    <w:rsid w:val="008E215E"/>
    <w:rsid w:val="008E2B56"/>
    <w:rsid w:val="008E2CFD"/>
    <w:rsid w:val="008E38E7"/>
    <w:rsid w:val="008E6C2D"/>
    <w:rsid w:val="008F5ED4"/>
    <w:rsid w:val="008F5F95"/>
    <w:rsid w:val="008F7183"/>
    <w:rsid w:val="00900791"/>
    <w:rsid w:val="00902FB0"/>
    <w:rsid w:val="0091120E"/>
    <w:rsid w:val="00913BC7"/>
    <w:rsid w:val="00923859"/>
    <w:rsid w:val="009259CF"/>
    <w:rsid w:val="00950A73"/>
    <w:rsid w:val="00954CE8"/>
    <w:rsid w:val="0095546B"/>
    <w:rsid w:val="0095568B"/>
    <w:rsid w:val="00955D2A"/>
    <w:rsid w:val="009637E7"/>
    <w:rsid w:val="009654EF"/>
    <w:rsid w:val="00965A03"/>
    <w:rsid w:val="00972CE4"/>
    <w:rsid w:val="00973E65"/>
    <w:rsid w:val="0097566E"/>
    <w:rsid w:val="009810EA"/>
    <w:rsid w:val="009946FA"/>
    <w:rsid w:val="00994AA4"/>
    <w:rsid w:val="009A29B6"/>
    <w:rsid w:val="009C1373"/>
    <w:rsid w:val="009C1761"/>
    <w:rsid w:val="009C2C1A"/>
    <w:rsid w:val="009C7346"/>
    <w:rsid w:val="009D2469"/>
    <w:rsid w:val="009E06E1"/>
    <w:rsid w:val="009E46D2"/>
    <w:rsid w:val="009E4C3C"/>
    <w:rsid w:val="009E6F74"/>
    <w:rsid w:val="009F34E9"/>
    <w:rsid w:val="009F4751"/>
    <w:rsid w:val="00A14146"/>
    <w:rsid w:val="00A148A4"/>
    <w:rsid w:val="00A15456"/>
    <w:rsid w:val="00A229D9"/>
    <w:rsid w:val="00A23E43"/>
    <w:rsid w:val="00A31C9E"/>
    <w:rsid w:val="00A35141"/>
    <w:rsid w:val="00A36704"/>
    <w:rsid w:val="00A44650"/>
    <w:rsid w:val="00A512AA"/>
    <w:rsid w:val="00A60F98"/>
    <w:rsid w:val="00A6286F"/>
    <w:rsid w:val="00A74691"/>
    <w:rsid w:val="00A7638C"/>
    <w:rsid w:val="00A769B9"/>
    <w:rsid w:val="00A77434"/>
    <w:rsid w:val="00A85D49"/>
    <w:rsid w:val="00A91CB7"/>
    <w:rsid w:val="00A95640"/>
    <w:rsid w:val="00A95C77"/>
    <w:rsid w:val="00AA1947"/>
    <w:rsid w:val="00AA325C"/>
    <w:rsid w:val="00AA4BE3"/>
    <w:rsid w:val="00AA4C61"/>
    <w:rsid w:val="00AA7649"/>
    <w:rsid w:val="00AB3869"/>
    <w:rsid w:val="00AC4780"/>
    <w:rsid w:val="00AD1AFC"/>
    <w:rsid w:val="00AD6715"/>
    <w:rsid w:val="00AF60A5"/>
    <w:rsid w:val="00B00F0F"/>
    <w:rsid w:val="00B04938"/>
    <w:rsid w:val="00B06A1C"/>
    <w:rsid w:val="00B10922"/>
    <w:rsid w:val="00B161E4"/>
    <w:rsid w:val="00B20914"/>
    <w:rsid w:val="00B328AD"/>
    <w:rsid w:val="00B41124"/>
    <w:rsid w:val="00B4442F"/>
    <w:rsid w:val="00B468B7"/>
    <w:rsid w:val="00B5752E"/>
    <w:rsid w:val="00B60C67"/>
    <w:rsid w:val="00B7595E"/>
    <w:rsid w:val="00B80A46"/>
    <w:rsid w:val="00B80BC9"/>
    <w:rsid w:val="00B932AD"/>
    <w:rsid w:val="00B96B63"/>
    <w:rsid w:val="00BA54CC"/>
    <w:rsid w:val="00BA758C"/>
    <w:rsid w:val="00BA7D46"/>
    <w:rsid w:val="00BB18FE"/>
    <w:rsid w:val="00BC1F9D"/>
    <w:rsid w:val="00BC5059"/>
    <w:rsid w:val="00BC54D7"/>
    <w:rsid w:val="00BD57BE"/>
    <w:rsid w:val="00BD7D17"/>
    <w:rsid w:val="00BE0145"/>
    <w:rsid w:val="00BE4DA9"/>
    <w:rsid w:val="00BE71F8"/>
    <w:rsid w:val="00BF2B52"/>
    <w:rsid w:val="00BF7695"/>
    <w:rsid w:val="00BF7CC3"/>
    <w:rsid w:val="00C0163C"/>
    <w:rsid w:val="00C041B2"/>
    <w:rsid w:val="00C05C97"/>
    <w:rsid w:val="00C20F5A"/>
    <w:rsid w:val="00C378B1"/>
    <w:rsid w:val="00C404B2"/>
    <w:rsid w:val="00C50E53"/>
    <w:rsid w:val="00C51D4E"/>
    <w:rsid w:val="00C56DD0"/>
    <w:rsid w:val="00C57D6B"/>
    <w:rsid w:val="00C60585"/>
    <w:rsid w:val="00C620FA"/>
    <w:rsid w:val="00C74967"/>
    <w:rsid w:val="00C81B52"/>
    <w:rsid w:val="00C910F8"/>
    <w:rsid w:val="00C913EC"/>
    <w:rsid w:val="00C94F4C"/>
    <w:rsid w:val="00CB1BC4"/>
    <w:rsid w:val="00CB1C6D"/>
    <w:rsid w:val="00CC08BD"/>
    <w:rsid w:val="00CC2842"/>
    <w:rsid w:val="00CD3BAA"/>
    <w:rsid w:val="00CD5818"/>
    <w:rsid w:val="00CE50B7"/>
    <w:rsid w:val="00CF24D9"/>
    <w:rsid w:val="00CF6874"/>
    <w:rsid w:val="00CF692C"/>
    <w:rsid w:val="00CF6A23"/>
    <w:rsid w:val="00D01A0B"/>
    <w:rsid w:val="00D16544"/>
    <w:rsid w:val="00D211FC"/>
    <w:rsid w:val="00D23089"/>
    <w:rsid w:val="00D3374C"/>
    <w:rsid w:val="00D36556"/>
    <w:rsid w:val="00D41359"/>
    <w:rsid w:val="00D44A1B"/>
    <w:rsid w:val="00D55A44"/>
    <w:rsid w:val="00D5710C"/>
    <w:rsid w:val="00D62329"/>
    <w:rsid w:val="00D845C5"/>
    <w:rsid w:val="00D90412"/>
    <w:rsid w:val="00D93310"/>
    <w:rsid w:val="00D96ECF"/>
    <w:rsid w:val="00D971BD"/>
    <w:rsid w:val="00D97EB6"/>
    <w:rsid w:val="00DA0915"/>
    <w:rsid w:val="00DA1919"/>
    <w:rsid w:val="00DA453C"/>
    <w:rsid w:val="00DB3212"/>
    <w:rsid w:val="00DB52ED"/>
    <w:rsid w:val="00DB5BD0"/>
    <w:rsid w:val="00DC3198"/>
    <w:rsid w:val="00DD2CEF"/>
    <w:rsid w:val="00DE143B"/>
    <w:rsid w:val="00DE1E27"/>
    <w:rsid w:val="00E05591"/>
    <w:rsid w:val="00E07842"/>
    <w:rsid w:val="00E1051A"/>
    <w:rsid w:val="00E17803"/>
    <w:rsid w:val="00E230AB"/>
    <w:rsid w:val="00E244D9"/>
    <w:rsid w:val="00E30C7E"/>
    <w:rsid w:val="00E32ED5"/>
    <w:rsid w:val="00E56420"/>
    <w:rsid w:val="00E63582"/>
    <w:rsid w:val="00E66320"/>
    <w:rsid w:val="00E73FEF"/>
    <w:rsid w:val="00E74DD7"/>
    <w:rsid w:val="00E814F8"/>
    <w:rsid w:val="00E82D1F"/>
    <w:rsid w:val="00E84B66"/>
    <w:rsid w:val="00E86B6E"/>
    <w:rsid w:val="00E949FD"/>
    <w:rsid w:val="00EA0149"/>
    <w:rsid w:val="00EA47A6"/>
    <w:rsid w:val="00EA7FED"/>
    <w:rsid w:val="00EB0AA8"/>
    <w:rsid w:val="00EC44C5"/>
    <w:rsid w:val="00ED47D3"/>
    <w:rsid w:val="00ED70E8"/>
    <w:rsid w:val="00EE2C68"/>
    <w:rsid w:val="00EE3C4C"/>
    <w:rsid w:val="00EF70C0"/>
    <w:rsid w:val="00F03601"/>
    <w:rsid w:val="00F0612D"/>
    <w:rsid w:val="00F1019D"/>
    <w:rsid w:val="00F22B4B"/>
    <w:rsid w:val="00F23570"/>
    <w:rsid w:val="00F25ED1"/>
    <w:rsid w:val="00F31909"/>
    <w:rsid w:val="00F332F9"/>
    <w:rsid w:val="00F33FD1"/>
    <w:rsid w:val="00F47950"/>
    <w:rsid w:val="00F51A8E"/>
    <w:rsid w:val="00F524ED"/>
    <w:rsid w:val="00F54377"/>
    <w:rsid w:val="00F55F5A"/>
    <w:rsid w:val="00F77082"/>
    <w:rsid w:val="00F86663"/>
    <w:rsid w:val="00F90D09"/>
    <w:rsid w:val="00F93625"/>
    <w:rsid w:val="00F947B1"/>
    <w:rsid w:val="00F9543B"/>
    <w:rsid w:val="00F96BAB"/>
    <w:rsid w:val="00F978F6"/>
    <w:rsid w:val="00FA0EE3"/>
    <w:rsid w:val="00FA43A2"/>
    <w:rsid w:val="00FA4471"/>
    <w:rsid w:val="00FB1EB0"/>
    <w:rsid w:val="00FB2ED2"/>
    <w:rsid w:val="00FB3AFE"/>
    <w:rsid w:val="00FB4904"/>
    <w:rsid w:val="00FB71C3"/>
    <w:rsid w:val="00FC3779"/>
    <w:rsid w:val="00FC3FB2"/>
    <w:rsid w:val="00FC508A"/>
    <w:rsid w:val="00FD19FD"/>
    <w:rsid w:val="00FD1AA8"/>
    <w:rsid w:val="00FE143A"/>
    <w:rsid w:val="00FE1D94"/>
    <w:rsid w:val="00FE6DDD"/>
    <w:rsid w:val="00FF0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CB9C9AA-6C4E-40AF-B67C-29693206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uiPriority="9" w:qFormat="1"/>
    <w:lsdException w:name="heading 3" w:locked="0" w:uiPriority="9" w:qFormat="1"/>
    <w:lsdException w:name="heading 4" w:locked="0" w:uiPriority="9" w:qFormat="1"/>
    <w:lsdException w:name="heading 5" w:locked="0"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nhideWhenUsed="1"/>
    <w:lsdException w:name="annotation text" w:semiHidden="1" w:unhideWhenUsed="1"/>
    <w:lsdException w:name="header" w:semiHidden="1" w:unhideWhenUsed="1"/>
    <w:lsdException w:name="footer" w:locked="0" w:semiHidden="1" w:unhideWhenUsed="1"/>
    <w:lsdException w:name="index heading" w:semiHidden="1" w:unhideWhenUsed="1"/>
    <w:lsdException w:name="caption" w:locked="0" w:uiPriority="35" w:qFormat="1"/>
    <w:lsdException w:name="table of figures" w:locked="0"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semiHidden="1" w:unhideWhenUsed="1"/>
    <w:lsdException w:name="line number" w:locked="0" w:semiHidden="1" w:unhideWhenUsed="1"/>
    <w:lsdException w:name="page number" w:locked="0" w:semiHidden="1" w:unhideWhenUsed="1"/>
    <w:lsdException w:name="endnote reference" w:semiHidden="1" w:unhideWhenUsed="1"/>
    <w:lsdException w:name="endnote text"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qFormat="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semiHidden="1" w:unhideWhenUsed="1"/>
    <w:lsdException w:name="Subtitle" w:uiPriority="11"/>
    <w:lsdException w:name="Salutation" w:semiHidden="1" w:unhideWhenUsed="1"/>
    <w:lsdException w:name="Date" w:locked="0"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locked="0" w:uiPriority="22" w:qFormat="1"/>
    <w:lsdException w:name="Emphasis" w:locked="0" w:uiPriority="2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locked="0" w:semiHidden="1" w:unhideWhenUsed="1"/>
    <w:lsdException w:name="Outline List 2" w:locked="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0" w:semiHidden="1" w:unhideWhenUsed="1"/>
    <w:lsdException w:name="Table Grid 2" w:locked="0" w:semiHidden="1" w:unhideWhenUsed="1"/>
    <w:lsdException w:name="Table Grid 3" w:locked="0" w:semiHidden="1" w:unhideWhenUsed="1"/>
    <w:lsdException w:name="Table Grid 4" w:locked="0" w:semiHidden="1" w:unhideWhenUsed="1"/>
    <w:lsdException w:name="Table Grid 5" w:locked="0" w:semiHidden="1" w:unhideWhenUsed="1"/>
    <w:lsdException w:name="Table Grid 6" w:locked="0" w:semiHidden="1" w:unhideWhenUsed="1"/>
    <w:lsdException w:name="Table Grid 7" w:locked="0" w:semiHidden="1" w:unhideWhenUsed="1"/>
    <w:lsdException w:name="Table Grid 8" w:locked="0" w:semiHidden="1" w:unhideWhenUsed="1"/>
    <w:lsdException w:name="Table List 1" w:locked="0" w:semiHidden="1" w:unhideWhenUsed="1"/>
    <w:lsdException w:name="Table List 2" w:locked="0" w:semiHidden="1" w:unhideWhenUsed="1"/>
    <w:lsdException w:name="Table List 3" w:locked="0" w:semiHidden="1" w:unhideWhenUsed="1"/>
    <w:lsdException w:name="Table List 4" w:locked="0" w:semiHidden="1" w:unhideWhenUsed="1"/>
    <w:lsdException w:name="Table List 5" w:locked="0" w:semiHidden="1" w:unhideWhenUsed="1"/>
    <w:lsdException w:name="Table List 6" w:locked="0" w:semiHidden="1" w:unhideWhenUsed="1"/>
    <w:lsdException w:name="Table List 7" w:locked="0" w:semiHidden="1" w:unhideWhenUsed="1"/>
    <w:lsdException w:name="Table List 8" w:locked="0"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locked="0"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F55F5A"/>
    <w:pPr>
      <w:spacing w:after="288"/>
    </w:pPr>
    <w:rPr>
      <w:rFonts w:ascii="Arial" w:hAnsi="Arial"/>
      <w:sz w:val="24"/>
      <w:szCs w:val="24"/>
      <w:lang w:eastAsia="en-US"/>
    </w:rPr>
  </w:style>
  <w:style w:type="paragraph" w:styleId="Heading1">
    <w:name w:val="heading 1"/>
    <w:basedOn w:val="Normal"/>
    <w:next w:val="Normal"/>
    <w:link w:val="Heading1Char"/>
    <w:uiPriority w:val="99"/>
    <w:qFormat/>
    <w:rsid w:val="00A35141"/>
    <w:pPr>
      <w:spacing w:after="324"/>
      <w:outlineLvl w:val="0"/>
    </w:pPr>
    <w:rPr>
      <w:b/>
      <w:bCs/>
      <w:color w:val="003478"/>
      <w:kern w:val="32"/>
      <w:sz w:val="40"/>
      <w:szCs w:val="32"/>
    </w:rPr>
  </w:style>
  <w:style w:type="paragraph" w:styleId="Heading2">
    <w:name w:val="heading 2"/>
    <w:basedOn w:val="Normal"/>
    <w:next w:val="Normal"/>
    <w:link w:val="Heading2Char1"/>
    <w:uiPriority w:val="99"/>
    <w:qFormat/>
    <w:rsid w:val="00A35141"/>
    <w:pPr>
      <w:spacing w:before="120" w:after="240"/>
      <w:outlineLvl w:val="1"/>
    </w:pPr>
    <w:rPr>
      <w:b/>
      <w:bCs/>
      <w:iCs/>
      <w:color w:val="003478"/>
      <w:sz w:val="28"/>
      <w:szCs w:val="28"/>
    </w:rPr>
  </w:style>
  <w:style w:type="paragraph" w:styleId="Heading3">
    <w:name w:val="heading 3"/>
    <w:basedOn w:val="Normal"/>
    <w:next w:val="Normal"/>
    <w:link w:val="Heading3Char1"/>
    <w:uiPriority w:val="99"/>
    <w:qFormat/>
    <w:rsid w:val="00AC4780"/>
    <w:pPr>
      <w:spacing w:after="240"/>
      <w:outlineLvl w:val="2"/>
    </w:pPr>
    <w:rPr>
      <w:b/>
      <w:bCs/>
      <w:color w:val="009BBB"/>
      <w:sz w:val="26"/>
      <w:szCs w:val="26"/>
    </w:rPr>
  </w:style>
  <w:style w:type="paragraph" w:styleId="Heading4">
    <w:name w:val="heading 4"/>
    <w:basedOn w:val="Normal"/>
    <w:next w:val="Normal"/>
    <w:link w:val="Heading4Char1"/>
    <w:uiPriority w:val="99"/>
    <w:qFormat/>
    <w:rsid w:val="00AC4780"/>
    <w:pPr>
      <w:spacing w:after="120"/>
      <w:outlineLvl w:val="3"/>
    </w:pPr>
    <w:rPr>
      <w:b/>
    </w:rPr>
  </w:style>
  <w:style w:type="paragraph" w:styleId="Heading5">
    <w:name w:val="heading 5"/>
    <w:basedOn w:val="Normal"/>
    <w:next w:val="Normal"/>
    <w:link w:val="Heading5Char"/>
    <w:uiPriority w:val="9"/>
    <w:unhideWhenUsed/>
    <w:rsid w:val="00C57D6B"/>
    <w:pPr>
      <w:keepNext/>
      <w:keepLines/>
      <w:spacing w:after="60"/>
      <w:outlineLvl w:val="4"/>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35141"/>
    <w:rPr>
      <w:rFonts w:ascii="Arial" w:hAnsi="Arial"/>
      <w:b/>
      <w:bCs/>
      <w:color w:val="003478"/>
      <w:kern w:val="32"/>
      <w:sz w:val="40"/>
      <w:szCs w:val="32"/>
      <w:lang w:eastAsia="en-US"/>
    </w:rPr>
  </w:style>
  <w:style w:type="character" w:customStyle="1" w:styleId="Heading2Char">
    <w:name w:val="Heading 2 Char"/>
    <w:basedOn w:val="DefaultParagraphFont"/>
    <w:uiPriority w:val="9"/>
    <w:semiHidden/>
    <w:locked/>
    <w:rsid w:val="004800CB"/>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uiPriority w:val="9"/>
    <w:semiHidden/>
    <w:locked/>
    <w:rsid w:val="004800CB"/>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uiPriority w:val="9"/>
    <w:semiHidden/>
    <w:locked/>
    <w:rsid w:val="004800CB"/>
    <w:rPr>
      <w:rFonts w:asciiTheme="minorHAnsi" w:eastAsiaTheme="minorEastAsia" w:hAnsiTheme="minorHAnsi" w:cstheme="minorBidi"/>
      <w:b/>
      <w:bCs/>
      <w:sz w:val="28"/>
      <w:szCs w:val="28"/>
      <w:lang w:eastAsia="en-US"/>
    </w:rPr>
  </w:style>
  <w:style w:type="paragraph" w:customStyle="1" w:styleId="BISTitle">
    <w:name w:val="BIS Title"/>
    <w:basedOn w:val="Normal"/>
    <w:autoRedefine/>
    <w:uiPriority w:val="99"/>
    <w:rsid w:val="00E17803"/>
    <w:pPr>
      <w:spacing w:line="240" w:lineRule="atLeast"/>
      <w:ind w:left="142"/>
    </w:pPr>
    <w:rPr>
      <w:b/>
      <w:noProof/>
      <w:color w:val="FFFFFF"/>
      <w:lang w:val="en-US"/>
    </w:rPr>
  </w:style>
  <w:style w:type="paragraph" w:customStyle="1" w:styleId="BISCovertext">
    <w:name w:val="BIS Cover text"/>
    <w:basedOn w:val="BISTitle"/>
    <w:autoRedefine/>
    <w:uiPriority w:val="99"/>
    <w:locked/>
    <w:rsid w:val="00D90412"/>
    <w:rPr>
      <w:b w:val="0"/>
      <w:sz w:val="28"/>
      <w:szCs w:val="28"/>
    </w:rPr>
  </w:style>
  <w:style w:type="paragraph" w:styleId="TOC1">
    <w:name w:val="toc 1"/>
    <w:basedOn w:val="Normal"/>
    <w:next w:val="Normal"/>
    <w:autoRedefine/>
    <w:uiPriority w:val="39"/>
    <w:unhideWhenUsed/>
    <w:pPr>
      <w:spacing w:line="280" w:lineRule="exact"/>
    </w:pPr>
    <w:rPr>
      <w:b/>
      <w:sz w:val="22"/>
    </w:rPr>
  </w:style>
  <w:style w:type="paragraph" w:styleId="TOC2">
    <w:name w:val="toc 2"/>
    <w:basedOn w:val="Normal"/>
    <w:next w:val="Normal"/>
    <w:autoRedefine/>
    <w:uiPriority w:val="39"/>
    <w:unhideWhenUsed/>
    <w:pPr>
      <w:spacing w:line="280" w:lineRule="exact"/>
      <w:ind w:left="238"/>
    </w:pPr>
    <w:rPr>
      <w:sz w:val="22"/>
    </w:rPr>
  </w:style>
  <w:style w:type="paragraph" w:styleId="TOC3">
    <w:name w:val="toc 3"/>
    <w:basedOn w:val="Normal"/>
    <w:next w:val="Normal"/>
    <w:autoRedefine/>
    <w:uiPriority w:val="39"/>
    <w:unhideWhenUsed/>
    <w:pPr>
      <w:spacing w:line="280" w:lineRule="exact"/>
      <w:ind w:left="482"/>
    </w:pPr>
    <w:rPr>
      <w:sz w:val="22"/>
    </w:rPr>
  </w:style>
  <w:style w:type="paragraph" w:styleId="Header">
    <w:name w:val="header"/>
    <w:basedOn w:val="Normal"/>
    <w:link w:val="HeaderChar1"/>
    <w:uiPriority w:val="99"/>
    <w:locked/>
    <w:rsid w:val="00D5710C"/>
    <w:pPr>
      <w:tabs>
        <w:tab w:val="center" w:pos="4513"/>
        <w:tab w:val="right" w:pos="9026"/>
      </w:tabs>
    </w:pPr>
  </w:style>
  <w:style w:type="character" w:customStyle="1" w:styleId="HeaderChar">
    <w:name w:val="Header Char"/>
    <w:basedOn w:val="DefaultParagraphFont"/>
    <w:uiPriority w:val="99"/>
    <w:semiHidden/>
    <w:locked/>
    <w:rsid w:val="004800CB"/>
    <w:rPr>
      <w:rFonts w:ascii="Arial" w:hAnsi="Arial"/>
      <w:sz w:val="24"/>
      <w:szCs w:val="24"/>
      <w:lang w:eastAsia="en-US"/>
    </w:rPr>
  </w:style>
  <w:style w:type="paragraph" w:customStyle="1" w:styleId="BISInsidebullets">
    <w:name w:val="BIS Inside bullets"/>
    <w:basedOn w:val="Normal"/>
    <w:autoRedefine/>
    <w:uiPriority w:val="99"/>
    <w:locked/>
    <w:rsid w:val="00FC508A"/>
    <w:pPr>
      <w:numPr>
        <w:numId w:val="2"/>
      </w:numPr>
      <w:tabs>
        <w:tab w:val="clear" w:pos="360"/>
        <w:tab w:val="left" w:pos="284"/>
      </w:tabs>
      <w:spacing w:before="120"/>
      <w:ind w:left="284" w:hanging="284"/>
      <w:outlineLvl w:val="0"/>
    </w:pPr>
    <w:rPr>
      <w:rFonts w:cs="Arial"/>
      <w:bCs/>
      <w:color w:val="FFFFFF"/>
      <w:kern w:val="32"/>
      <w:szCs w:val="56"/>
    </w:rPr>
  </w:style>
  <w:style w:type="character" w:customStyle="1" w:styleId="HeaderChar1">
    <w:name w:val="Header Char1"/>
    <w:basedOn w:val="DefaultParagraphFont"/>
    <w:link w:val="Header"/>
    <w:uiPriority w:val="99"/>
    <w:locked/>
    <w:rsid w:val="00D5710C"/>
    <w:rPr>
      <w:rFonts w:ascii="Arial" w:hAnsi="Arial" w:cs="Times New Roman"/>
      <w:sz w:val="24"/>
      <w:szCs w:val="24"/>
      <w:lang w:eastAsia="en-US"/>
    </w:rPr>
  </w:style>
  <w:style w:type="paragraph" w:customStyle="1" w:styleId="Tabletitle-WhiteNormal">
    <w:name w:val="Table title - White Normal"/>
    <w:basedOn w:val="Tabletitle-BlackNormal"/>
    <w:uiPriority w:val="99"/>
    <w:rsid w:val="001D610C"/>
    <w:pPr>
      <w:spacing w:before="60" w:after="60"/>
    </w:pPr>
    <w:rPr>
      <w:color w:val="FFFFFF"/>
    </w:rPr>
  </w:style>
  <w:style w:type="paragraph" w:customStyle="1" w:styleId="Headertext">
    <w:name w:val="Header text"/>
    <w:basedOn w:val="Normal"/>
    <w:autoRedefine/>
    <w:uiPriority w:val="99"/>
    <w:rsid w:val="009946FA"/>
    <w:pPr>
      <w:tabs>
        <w:tab w:val="center" w:pos="4153"/>
        <w:tab w:val="right" w:pos="8306"/>
      </w:tabs>
      <w:jc w:val="right"/>
    </w:pPr>
    <w:rPr>
      <w:color w:val="003478"/>
      <w:sz w:val="18"/>
    </w:rPr>
  </w:style>
  <w:style w:type="paragraph" w:customStyle="1" w:styleId="Introparagraph">
    <w:name w:val="Intro paragraph"/>
    <w:basedOn w:val="Normal"/>
    <w:autoRedefine/>
    <w:uiPriority w:val="99"/>
    <w:rsid w:val="00AC4780"/>
    <w:pPr>
      <w:keepNext/>
      <w:spacing w:before="120" w:after="360"/>
      <w:outlineLvl w:val="0"/>
    </w:pPr>
    <w:rPr>
      <w:b/>
      <w:bCs/>
      <w:noProof/>
      <w:kern w:val="32"/>
      <w:sz w:val="26"/>
      <w:szCs w:val="56"/>
    </w:rPr>
  </w:style>
  <w:style w:type="paragraph" w:customStyle="1" w:styleId="TintBox">
    <w:name w:val="Tint Box"/>
    <w:basedOn w:val="Normal"/>
    <w:next w:val="Normal"/>
    <w:uiPriority w:val="99"/>
    <w:rsid w:val="00E63582"/>
    <w:pPr>
      <w:pBdr>
        <w:top w:val="single" w:sz="2" w:space="6" w:color="FFFFFF"/>
        <w:left w:val="single" w:sz="2" w:space="8" w:color="FFFFFF"/>
        <w:bottom w:val="single" w:sz="2" w:space="8" w:color="FFFFFF"/>
        <w:right w:val="single" w:sz="2" w:space="8" w:color="FFFFFF"/>
      </w:pBdr>
      <w:shd w:val="clear" w:color="auto" w:fill="DBE5F1" w:themeFill="accent1" w:themeFillTint="33"/>
      <w:spacing w:line="280" w:lineRule="exact"/>
      <w:ind w:left="567" w:right="567"/>
    </w:pPr>
  </w:style>
  <w:style w:type="paragraph" w:styleId="Footer">
    <w:name w:val="footer"/>
    <w:basedOn w:val="Normal"/>
    <w:link w:val="FooterChar1"/>
    <w:uiPriority w:val="99"/>
    <w:rsid w:val="00D5710C"/>
    <w:pPr>
      <w:tabs>
        <w:tab w:val="center" w:pos="4513"/>
        <w:tab w:val="right" w:pos="9026"/>
      </w:tabs>
    </w:pPr>
  </w:style>
  <w:style w:type="character" w:customStyle="1" w:styleId="FooterChar">
    <w:name w:val="Footer Char"/>
    <w:basedOn w:val="DefaultParagraphFont"/>
    <w:uiPriority w:val="99"/>
    <w:semiHidden/>
    <w:rsid w:val="004800CB"/>
    <w:rPr>
      <w:rFonts w:ascii="Arial" w:hAnsi="Arial"/>
      <w:sz w:val="24"/>
      <w:szCs w:val="24"/>
      <w:lang w:eastAsia="en-US"/>
    </w:rPr>
  </w:style>
  <w:style w:type="character" w:customStyle="1" w:styleId="FooterChar1">
    <w:name w:val="Footer Char1"/>
    <w:basedOn w:val="DefaultParagraphFont"/>
    <w:link w:val="Footer"/>
    <w:uiPriority w:val="99"/>
    <w:locked/>
    <w:rsid w:val="00D5710C"/>
    <w:rPr>
      <w:rFonts w:ascii="Arial" w:hAnsi="Arial" w:cs="Times New Roman"/>
      <w:sz w:val="24"/>
      <w:szCs w:val="24"/>
      <w:lang w:eastAsia="en-US"/>
    </w:rPr>
  </w:style>
  <w:style w:type="character" w:styleId="FollowedHyperlink">
    <w:name w:val="FollowedHyperlink"/>
    <w:basedOn w:val="DefaultParagraphFont"/>
    <w:uiPriority w:val="99"/>
    <w:locked/>
    <w:rsid w:val="007073CE"/>
    <w:rPr>
      <w:rFonts w:ascii="Arial" w:hAnsi="Arial" w:cs="Times New Roman"/>
      <w:color w:val="800080"/>
      <w:sz w:val="24"/>
      <w:u w:val="single"/>
    </w:rPr>
  </w:style>
  <w:style w:type="character" w:styleId="Hyperlink">
    <w:name w:val="Hyperlink"/>
    <w:basedOn w:val="DefaultParagraphFont"/>
    <w:uiPriority w:val="99"/>
    <w:rsid w:val="007073CE"/>
    <w:rPr>
      <w:rFonts w:ascii="Arial" w:hAnsi="Arial" w:cs="Times New Roman"/>
      <w:color w:val="0000FF"/>
      <w:sz w:val="24"/>
      <w:u w:val="single"/>
    </w:rPr>
  </w:style>
  <w:style w:type="paragraph" w:customStyle="1" w:styleId="Numberedparagraph">
    <w:name w:val="Numbered paragraph"/>
    <w:basedOn w:val="Normal"/>
    <w:autoRedefine/>
    <w:uiPriority w:val="99"/>
    <w:rsid w:val="00B5752E"/>
    <w:pPr>
      <w:numPr>
        <w:numId w:val="5"/>
      </w:numPr>
      <w:tabs>
        <w:tab w:val="left" w:pos="567"/>
      </w:tabs>
      <w:ind w:left="567" w:right="11" w:hanging="425"/>
    </w:pPr>
  </w:style>
  <w:style w:type="character" w:customStyle="1" w:styleId="StylePantoneCyanBold">
    <w:name w:val="Style Pantone Cyan + Bold"/>
    <w:basedOn w:val="PantoneCyan"/>
    <w:uiPriority w:val="99"/>
    <w:locked/>
    <w:rsid w:val="000D42C5"/>
    <w:rPr>
      <w:rFonts w:cs="Times New Roman"/>
      <w:b/>
      <w:bCs/>
      <w:color w:val="003478"/>
    </w:rPr>
  </w:style>
  <w:style w:type="character" w:customStyle="1" w:styleId="Page1White">
    <w:name w:val="Page 1 White"/>
    <w:basedOn w:val="DefaultParagraphFont"/>
    <w:uiPriority w:val="99"/>
    <w:locked/>
    <w:rsid w:val="00FC508A"/>
    <w:rPr>
      <w:rFonts w:ascii="Arial" w:hAnsi="Arial" w:cs="Times New Roman"/>
      <w:color w:val="FFFFFF"/>
      <w:sz w:val="24"/>
    </w:rPr>
  </w:style>
  <w:style w:type="paragraph" w:customStyle="1" w:styleId="EvenPageNumber">
    <w:name w:val="Even Page Number"/>
    <w:basedOn w:val="Normal"/>
    <w:uiPriority w:val="99"/>
    <w:locked/>
    <w:rsid w:val="009946FA"/>
    <w:rPr>
      <w:color w:val="003478"/>
    </w:rPr>
  </w:style>
  <w:style w:type="paragraph" w:customStyle="1" w:styleId="BISEvenHeader">
    <w:name w:val="BIS Even Header"/>
    <w:basedOn w:val="Headertext"/>
    <w:uiPriority w:val="99"/>
    <w:locked/>
    <w:rsid w:val="00A95640"/>
    <w:pPr>
      <w:jc w:val="left"/>
    </w:pPr>
  </w:style>
  <w:style w:type="character" w:customStyle="1" w:styleId="StylePantone144Bold">
    <w:name w:val="Style Pantone 144 + Bold"/>
    <w:basedOn w:val="Pantone144"/>
    <w:uiPriority w:val="99"/>
    <w:locked/>
    <w:rsid w:val="001E554A"/>
    <w:rPr>
      <w:rFonts w:cs="Times New Roman"/>
      <w:b/>
      <w:bCs/>
      <w:color w:val="FFCC11"/>
    </w:rPr>
  </w:style>
  <w:style w:type="paragraph" w:customStyle="1" w:styleId="Textbox">
    <w:name w:val="Text box"/>
    <w:basedOn w:val="Normal"/>
    <w:uiPriority w:val="99"/>
    <w:rsid w:val="00B06A1C"/>
    <w:pPr>
      <w:pBdr>
        <w:top w:val="single" w:sz="4" w:space="1" w:color="auto"/>
        <w:left w:val="single" w:sz="4" w:space="4" w:color="auto"/>
        <w:bottom w:val="single" w:sz="4" w:space="1" w:color="auto"/>
        <w:right w:val="single" w:sz="4" w:space="4" w:color="auto"/>
      </w:pBdr>
      <w:spacing w:line="288" w:lineRule="exact"/>
      <w:ind w:left="567" w:right="567"/>
    </w:pPr>
  </w:style>
  <w:style w:type="table" w:styleId="TableGrid">
    <w:name w:val="Table Grid"/>
    <w:basedOn w:val="TableNormal"/>
    <w:uiPriority w:val="99"/>
    <w:rsid w:val="007653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Pr>
  </w:style>
  <w:style w:type="paragraph" w:customStyle="1" w:styleId="Tabletext-Bold">
    <w:name w:val="Table text - Bold"/>
    <w:basedOn w:val="Normal"/>
    <w:uiPriority w:val="99"/>
    <w:rsid w:val="00E814F8"/>
    <w:pPr>
      <w:spacing w:after="80"/>
      <w:ind w:left="113" w:right="113"/>
    </w:pPr>
    <w:rPr>
      <w:b/>
      <w:sz w:val="22"/>
    </w:rPr>
  </w:style>
  <w:style w:type="paragraph" w:customStyle="1" w:styleId="Tabletitle-BlackNormal">
    <w:name w:val="Table title - Black Normal"/>
    <w:basedOn w:val="Tabletext-Bold"/>
    <w:uiPriority w:val="99"/>
    <w:rsid w:val="00CB1BC4"/>
    <w:pPr>
      <w:spacing w:after="0"/>
    </w:pPr>
  </w:style>
  <w:style w:type="character" w:customStyle="1" w:styleId="PantoneCyan">
    <w:name w:val="Pantone Cyan"/>
    <w:basedOn w:val="DefaultParagraphFont"/>
    <w:uiPriority w:val="99"/>
    <w:locked/>
    <w:rsid w:val="00533C58"/>
    <w:rPr>
      <w:rFonts w:cs="Times New Roman"/>
      <w:color w:val="009EE3"/>
    </w:rPr>
  </w:style>
  <w:style w:type="character" w:customStyle="1" w:styleId="Pantone144">
    <w:name w:val="Pantone 144"/>
    <w:basedOn w:val="DefaultParagraphFont"/>
    <w:uiPriority w:val="99"/>
    <w:locked/>
    <w:rsid w:val="001E554A"/>
    <w:rPr>
      <w:rFonts w:cs="Times New Roman"/>
      <w:color w:val="FFCC11"/>
    </w:rPr>
  </w:style>
  <w:style w:type="character" w:customStyle="1" w:styleId="Pantone187">
    <w:name w:val="Pantone 187"/>
    <w:basedOn w:val="DefaultParagraphFont"/>
    <w:uiPriority w:val="99"/>
    <w:locked/>
    <w:rsid w:val="001E554A"/>
    <w:rPr>
      <w:rFonts w:cs="Times New Roman"/>
      <w:color w:val="CC0033"/>
    </w:rPr>
  </w:style>
  <w:style w:type="character" w:customStyle="1" w:styleId="Pantone2593">
    <w:name w:val="Pantone 2593"/>
    <w:basedOn w:val="DefaultParagraphFont"/>
    <w:uiPriority w:val="99"/>
    <w:locked/>
    <w:rsid w:val="00533C58"/>
    <w:rPr>
      <w:rFonts w:cs="Times New Roman"/>
      <w:color w:val="742F89"/>
    </w:rPr>
  </w:style>
  <w:style w:type="character" w:customStyle="1" w:styleId="PantoneWhite">
    <w:name w:val="Pantone White"/>
    <w:basedOn w:val="Pantone2593"/>
    <w:uiPriority w:val="99"/>
    <w:locked/>
    <w:rsid w:val="003F35D6"/>
    <w:rPr>
      <w:rFonts w:cs="Times New Roman"/>
      <w:color w:val="FFFFFF"/>
    </w:rPr>
  </w:style>
  <w:style w:type="paragraph" w:styleId="ListBullet">
    <w:name w:val="List Bullet"/>
    <w:aliases w:val="Bullets"/>
    <w:basedOn w:val="Normal"/>
    <w:uiPriority w:val="99"/>
    <w:qFormat/>
    <w:rsid w:val="006A0F10"/>
    <w:pPr>
      <w:numPr>
        <w:numId w:val="3"/>
      </w:numPr>
      <w:tabs>
        <w:tab w:val="clear" w:pos="284"/>
        <w:tab w:val="num" w:pos="0"/>
      </w:tabs>
      <w:spacing w:line="288" w:lineRule="exact"/>
      <w:ind w:left="709" w:hanging="567"/>
    </w:pPr>
  </w:style>
  <w:style w:type="paragraph" w:customStyle="1" w:styleId="Dateonfirstpage">
    <w:name w:val="Date on first page"/>
    <w:basedOn w:val="Normal"/>
    <w:uiPriority w:val="99"/>
    <w:locked/>
    <w:rsid w:val="00CF24D9"/>
    <w:pPr>
      <w:spacing w:line="360" w:lineRule="exact"/>
      <w:ind w:right="28"/>
      <w:jc w:val="right"/>
    </w:pPr>
    <w:rPr>
      <w:color w:val="FFFFFF"/>
      <w:sz w:val="30"/>
    </w:rPr>
  </w:style>
  <w:style w:type="paragraph" w:customStyle="1" w:styleId="ZeroLead">
    <w:name w:val="Zero Lead"/>
    <w:basedOn w:val="BISCovertext"/>
    <w:uiPriority w:val="99"/>
    <w:locked/>
    <w:rsid w:val="00624791"/>
    <w:pPr>
      <w:spacing w:after="0" w:line="20" w:lineRule="exact"/>
    </w:pPr>
  </w:style>
  <w:style w:type="paragraph" w:customStyle="1" w:styleId="EndpageText">
    <w:name w:val="End page Text"/>
    <w:basedOn w:val="Normal"/>
    <w:uiPriority w:val="99"/>
    <w:rsid w:val="0009521D"/>
    <w:pPr>
      <w:spacing w:after="200"/>
    </w:pPr>
    <w:rPr>
      <w:sz w:val="20"/>
    </w:rPr>
  </w:style>
  <w:style w:type="paragraph" w:customStyle="1" w:styleId="Tabletitle-ConsulatationQuestionWhite">
    <w:name w:val="Table title - Consulatation Question White"/>
    <w:basedOn w:val="Tabletitle-BlackNormal"/>
    <w:uiPriority w:val="99"/>
    <w:locked/>
    <w:rsid w:val="008571A1"/>
    <w:rPr>
      <w:rFonts w:ascii="Arial Bold" w:hAnsi="Arial Bold"/>
      <w:b w:val="0"/>
      <w:color w:val="FFFFFF"/>
    </w:rPr>
  </w:style>
  <w:style w:type="paragraph" w:styleId="DocumentMap">
    <w:name w:val="Document Map"/>
    <w:basedOn w:val="Normal"/>
    <w:link w:val="DocumentMapChar"/>
    <w:uiPriority w:val="99"/>
    <w:semiHidden/>
    <w:locked/>
    <w:rsid w:val="008B723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4800CB"/>
    <w:rPr>
      <w:sz w:val="0"/>
      <w:szCs w:val="0"/>
      <w:lang w:eastAsia="en-US"/>
    </w:rPr>
  </w:style>
  <w:style w:type="paragraph" w:customStyle="1" w:styleId="Documenttitle">
    <w:name w:val="Document title"/>
    <w:basedOn w:val="Normal"/>
    <w:uiPriority w:val="99"/>
    <w:locked/>
    <w:rsid w:val="00ED47D3"/>
    <w:pPr>
      <w:spacing w:after="0" w:line="240" w:lineRule="atLeast"/>
    </w:pPr>
    <w:rPr>
      <w:b/>
      <w:caps/>
    </w:rPr>
  </w:style>
  <w:style w:type="paragraph" w:customStyle="1" w:styleId="BISSub-title">
    <w:name w:val="BIS Sub-title"/>
    <w:basedOn w:val="Normal"/>
    <w:uiPriority w:val="99"/>
    <w:rsid w:val="00034384"/>
    <w:pPr>
      <w:spacing w:after="0" w:line="240" w:lineRule="atLeast"/>
    </w:pPr>
    <w:rPr>
      <w:sz w:val="28"/>
    </w:rPr>
  </w:style>
  <w:style w:type="character" w:customStyle="1" w:styleId="Heading2Char1">
    <w:name w:val="Heading 2 Char1"/>
    <w:basedOn w:val="DefaultParagraphFont"/>
    <w:link w:val="Heading2"/>
    <w:uiPriority w:val="99"/>
    <w:locked/>
    <w:rsid w:val="00A35141"/>
    <w:rPr>
      <w:rFonts w:ascii="Arial" w:hAnsi="Arial"/>
      <w:b/>
      <w:bCs/>
      <w:iCs/>
      <w:color w:val="003478"/>
      <w:sz w:val="28"/>
      <w:szCs w:val="28"/>
      <w:lang w:eastAsia="en-US"/>
    </w:rPr>
  </w:style>
  <w:style w:type="character" w:customStyle="1" w:styleId="Heading3Char1">
    <w:name w:val="Heading 3 Char1"/>
    <w:basedOn w:val="DefaultParagraphFont"/>
    <w:link w:val="Heading3"/>
    <w:uiPriority w:val="99"/>
    <w:locked/>
    <w:rsid w:val="00AC4780"/>
    <w:rPr>
      <w:rFonts w:ascii="Arial" w:hAnsi="Arial"/>
      <w:b/>
      <w:bCs/>
      <w:color w:val="009BBB"/>
      <w:sz w:val="26"/>
      <w:szCs w:val="26"/>
      <w:lang w:eastAsia="en-US"/>
    </w:rPr>
  </w:style>
  <w:style w:type="character" w:customStyle="1" w:styleId="Heading4Char1">
    <w:name w:val="Heading 4 Char1"/>
    <w:basedOn w:val="DefaultParagraphFont"/>
    <w:link w:val="Heading4"/>
    <w:uiPriority w:val="99"/>
    <w:locked/>
    <w:rsid w:val="00AC4780"/>
    <w:rPr>
      <w:rFonts w:ascii="Arial" w:hAnsi="Arial"/>
      <w:b/>
      <w:sz w:val="24"/>
      <w:szCs w:val="24"/>
      <w:lang w:eastAsia="en-US"/>
    </w:rPr>
  </w:style>
  <w:style w:type="paragraph" w:customStyle="1" w:styleId="Tabletext-Normal">
    <w:name w:val="Table text - Normal"/>
    <w:basedOn w:val="Tabletext-Bold"/>
    <w:uiPriority w:val="99"/>
    <w:rsid w:val="00E814F8"/>
    <w:rPr>
      <w:b w:val="0"/>
    </w:rPr>
  </w:style>
  <w:style w:type="paragraph" w:styleId="Caption">
    <w:name w:val="caption"/>
    <w:basedOn w:val="Normal"/>
    <w:next w:val="Normal"/>
    <w:uiPriority w:val="99"/>
    <w:qFormat/>
    <w:rsid w:val="00BA7D46"/>
    <w:pPr>
      <w:spacing w:after="240"/>
    </w:pPr>
    <w:rPr>
      <w:b/>
    </w:rPr>
  </w:style>
  <w:style w:type="paragraph" w:customStyle="1" w:styleId="BISMonthYear">
    <w:name w:val="BIS Month Year"/>
    <w:basedOn w:val="Normal"/>
    <w:uiPriority w:val="99"/>
    <w:rsid w:val="00ED47D3"/>
    <w:pPr>
      <w:spacing w:after="0" w:line="240" w:lineRule="atLeast"/>
    </w:pPr>
    <w:rPr>
      <w:caps/>
      <w:sz w:val="20"/>
    </w:rPr>
  </w:style>
  <w:style w:type="character" w:customStyle="1" w:styleId="StylePantone187Bold">
    <w:name w:val="Style Pantone 187 + Bold"/>
    <w:basedOn w:val="Pantone187"/>
    <w:uiPriority w:val="99"/>
    <w:locked/>
    <w:rsid w:val="001E554A"/>
    <w:rPr>
      <w:rFonts w:cs="Times New Roman"/>
      <w:b/>
      <w:bCs/>
      <w:color w:val="CC0033"/>
    </w:rPr>
  </w:style>
  <w:style w:type="paragraph" w:styleId="BalloonText">
    <w:name w:val="Balloon Text"/>
    <w:basedOn w:val="Normal"/>
    <w:link w:val="BalloonTextChar"/>
    <w:uiPriority w:val="99"/>
    <w:semiHidden/>
    <w:locked/>
    <w:rsid w:val="001C78F8"/>
    <w:rPr>
      <w:rFonts w:ascii="Tahoma" w:hAnsi="Tahoma" w:cs="Tahoma"/>
      <w:sz w:val="16"/>
      <w:szCs w:val="16"/>
    </w:rPr>
  </w:style>
  <w:style w:type="character" w:customStyle="1" w:styleId="BalloonTextChar">
    <w:name w:val="Balloon Text Char"/>
    <w:basedOn w:val="DefaultParagraphFont"/>
    <w:link w:val="BalloonText"/>
    <w:uiPriority w:val="99"/>
    <w:semiHidden/>
    <w:rsid w:val="004800CB"/>
    <w:rPr>
      <w:sz w:val="0"/>
      <w:szCs w:val="0"/>
      <w:lang w:eastAsia="en-US"/>
    </w:rPr>
  </w:style>
  <w:style w:type="character" w:styleId="PageNumber">
    <w:name w:val="page number"/>
    <w:basedOn w:val="DefaultParagraphFont"/>
    <w:uiPriority w:val="99"/>
    <w:rsid w:val="00C57D6B"/>
    <w:rPr>
      <w:rFonts w:ascii="Arial" w:hAnsi="Arial" w:cs="Times New Roman"/>
      <w:b w:val="0"/>
      <w:i w:val="0"/>
      <w:sz w:val="22"/>
    </w:rPr>
  </w:style>
  <w:style w:type="numbering" w:customStyle="1" w:styleId="StyleOutlinenumberedLeft089cmHanging063cm">
    <w:name w:val="Style Outline numbered Left:  0.89 cm Hanging:  0.63 cm"/>
    <w:locked/>
    <w:rsid w:val="004800CB"/>
    <w:pPr>
      <w:numPr>
        <w:numId w:val="7"/>
      </w:numPr>
    </w:pPr>
  </w:style>
  <w:style w:type="numbering" w:customStyle="1" w:styleId="TableBullets">
    <w:name w:val="Table Bullets"/>
    <w:rsid w:val="004800CB"/>
    <w:pPr>
      <w:numPr>
        <w:numId w:val="4"/>
      </w:numPr>
    </w:pPr>
  </w:style>
  <w:style w:type="numbering" w:customStyle="1" w:styleId="Numberlist">
    <w:name w:val="Number list"/>
    <w:rsid w:val="004800CB"/>
    <w:pPr>
      <w:numPr>
        <w:numId w:val="6"/>
      </w:numPr>
    </w:pPr>
  </w:style>
  <w:style w:type="character" w:styleId="Emphasis">
    <w:name w:val="Emphasis"/>
    <w:aliases w:val="Italic"/>
    <w:basedOn w:val="DefaultParagraphFont"/>
    <w:uiPriority w:val="20"/>
    <w:qFormat/>
    <w:rsid w:val="00466610"/>
    <w:rPr>
      <w:i/>
      <w:iCs/>
    </w:rPr>
  </w:style>
  <w:style w:type="character" w:styleId="Strong">
    <w:name w:val="Strong"/>
    <w:aliases w:val="Bold"/>
    <w:basedOn w:val="DefaultParagraphFont"/>
    <w:uiPriority w:val="22"/>
    <w:qFormat/>
    <w:rsid w:val="00466610"/>
    <w:rPr>
      <w:b/>
      <w:bCs/>
    </w:rPr>
  </w:style>
  <w:style w:type="paragraph" w:customStyle="1" w:styleId="URN">
    <w:name w:val="URN"/>
    <w:basedOn w:val="EndpageText"/>
    <w:rsid w:val="00466610"/>
    <w:rPr>
      <w:b/>
      <w:szCs w:val="20"/>
    </w:rPr>
  </w:style>
  <w:style w:type="paragraph" w:customStyle="1" w:styleId="Contents">
    <w:name w:val="Contents"/>
    <w:basedOn w:val="Heading1"/>
    <w:rsid w:val="00466610"/>
  </w:style>
  <w:style w:type="paragraph" w:customStyle="1" w:styleId="Notes">
    <w:name w:val="Notes"/>
    <w:basedOn w:val="Normal"/>
    <w:rsid w:val="00AC4780"/>
    <w:rPr>
      <w:sz w:val="20"/>
    </w:rPr>
  </w:style>
  <w:style w:type="character" w:customStyle="1" w:styleId="Heading5Char">
    <w:name w:val="Heading 5 Char"/>
    <w:basedOn w:val="DefaultParagraphFont"/>
    <w:link w:val="Heading5"/>
    <w:uiPriority w:val="9"/>
    <w:rsid w:val="00C57D6B"/>
    <w:rPr>
      <w:rFonts w:ascii="Arial" w:eastAsiaTheme="majorEastAsia" w:hAnsi="Arial" w:cstheme="majorBidi"/>
      <w:b/>
      <w:i/>
      <w:sz w:val="24"/>
      <w:szCs w:val="24"/>
      <w:lang w:eastAsia="en-US"/>
    </w:rPr>
  </w:style>
  <w:style w:type="paragraph" w:styleId="FootnoteText">
    <w:name w:val="footnote text"/>
    <w:basedOn w:val="Normal"/>
    <w:link w:val="FootnoteTextChar"/>
    <w:uiPriority w:val="99"/>
    <w:semiHidden/>
    <w:unhideWhenUsed/>
    <w:rsid w:val="0009521D"/>
    <w:pPr>
      <w:spacing w:after="0"/>
    </w:pPr>
    <w:rPr>
      <w:sz w:val="20"/>
      <w:szCs w:val="20"/>
    </w:rPr>
  </w:style>
  <w:style w:type="character" w:customStyle="1" w:styleId="FootnoteTextChar">
    <w:name w:val="Footnote Text Char"/>
    <w:basedOn w:val="DefaultParagraphFont"/>
    <w:link w:val="FootnoteText"/>
    <w:uiPriority w:val="99"/>
    <w:semiHidden/>
    <w:rsid w:val="0009521D"/>
    <w:rPr>
      <w:rFonts w:ascii="Arial" w:hAnsi="Arial"/>
      <w:sz w:val="20"/>
      <w:szCs w:val="20"/>
      <w:lang w:eastAsia="en-US"/>
    </w:rPr>
  </w:style>
  <w:style w:type="character" w:styleId="FootnoteReference">
    <w:name w:val="footnote reference"/>
    <w:basedOn w:val="DefaultParagraphFont"/>
    <w:uiPriority w:val="99"/>
    <w:semiHidden/>
    <w:unhideWhenUsed/>
    <w:rsid w:val="0009521D"/>
    <w:rPr>
      <w:vertAlign w:val="superscript"/>
    </w:rPr>
  </w:style>
  <w:style w:type="paragraph" w:styleId="Date">
    <w:name w:val="Date"/>
    <w:basedOn w:val="Normal"/>
    <w:next w:val="Normal"/>
    <w:link w:val="DateChar"/>
    <w:uiPriority w:val="99"/>
    <w:unhideWhenUsed/>
    <w:rsid w:val="00C0163C"/>
  </w:style>
  <w:style w:type="character" w:customStyle="1" w:styleId="DateChar">
    <w:name w:val="Date Char"/>
    <w:basedOn w:val="DefaultParagraphFont"/>
    <w:link w:val="Date"/>
    <w:uiPriority w:val="99"/>
    <w:rsid w:val="00C0163C"/>
    <w:rPr>
      <w:rFonts w:ascii="Arial" w:hAnsi="Arial"/>
      <w:sz w:val="24"/>
      <w:szCs w:val="24"/>
      <w:lang w:eastAsia="en-US"/>
    </w:rPr>
  </w:style>
  <w:style w:type="paragraph" w:customStyle="1" w:styleId="Tabletitle-WhiteSmall">
    <w:name w:val="Table title - White Small"/>
    <w:basedOn w:val="Tabletitle-WhiteNormal"/>
    <w:rsid w:val="00DE143B"/>
    <w:rPr>
      <w:sz w:val="20"/>
    </w:rPr>
  </w:style>
  <w:style w:type="paragraph" w:customStyle="1" w:styleId="Tabletext-Small">
    <w:name w:val="Table text - Small"/>
    <w:basedOn w:val="Tabletext-Normal"/>
    <w:rsid w:val="003F180F"/>
    <w:rPr>
      <w:sz w:val="20"/>
    </w:rPr>
  </w:style>
  <w:style w:type="paragraph" w:customStyle="1" w:styleId="Tabletext-BoldSmall">
    <w:name w:val="Table text - Bold Small"/>
    <w:basedOn w:val="Tabletext-Bold"/>
    <w:rsid w:val="00AF60A5"/>
    <w:rPr>
      <w:sz w:val="20"/>
    </w:rPr>
  </w:style>
  <w:style w:type="paragraph" w:customStyle="1" w:styleId="Tabletitle-BlackSmall">
    <w:name w:val="Table title - Black Small"/>
    <w:basedOn w:val="Tabletitle-BlackNormal"/>
    <w:rsid w:val="00AF60A5"/>
    <w:rPr>
      <w:sz w:val="20"/>
    </w:rPr>
  </w:style>
  <w:style w:type="paragraph" w:styleId="ListParagraph">
    <w:name w:val="List Paragraph"/>
    <w:basedOn w:val="Normal"/>
    <w:uiPriority w:val="34"/>
    <w:rsid w:val="00F524ED"/>
    <w:pPr>
      <w:ind w:left="720"/>
      <w:contextualSpacing/>
    </w:pPr>
  </w:style>
  <w:style w:type="character" w:customStyle="1" w:styleId="Subscript">
    <w:name w:val="Subscript"/>
    <w:basedOn w:val="DefaultParagraphFont"/>
    <w:uiPriority w:val="1"/>
    <w:rsid w:val="00C05C97"/>
    <w:rPr>
      <w:vertAlign w:val="subscript"/>
    </w:rPr>
  </w:style>
  <w:style w:type="character" w:customStyle="1" w:styleId="Superscript">
    <w:name w:val="Superscript"/>
    <w:basedOn w:val="DefaultParagraphFont"/>
    <w:uiPriority w:val="1"/>
    <w:rsid w:val="00C05C97"/>
    <w:rPr>
      <w:vertAlign w:val="superscript"/>
    </w:rPr>
  </w:style>
  <w:style w:type="table" w:styleId="LightList-Accent1">
    <w:name w:val="Light List Accent 1"/>
    <w:basedOn w:val="TableNormal"/>
    <w:uiPriority w:val="61"/>
    <w:locked/>
    <w:rsid w:val="008564C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bluegrid">
    <w:name w:val="Table - blue grid"/>
    <w:basedOn w:val="TableNormal"/>
    <w:uiPriority w:val="99"/>
    <w:rsid w:val="00A23E43"/>
    <w:rPr>
      <w:rFonts w:ascii="Arial" w:hAnsi="Arial"/>
    </w:rPr>
    <w:tblPr>
      <w:tblBorders>
        <w:top w:val="single" w:sz="4" w:space="0" w:color="21488A"/>
        <w:left w:val="single" w:sz="4" w:space="0" w:color="21488A"/>
        <w:bottom w:val="single" w:sz="4" w:space="0" w:color="21488A"/>
        <w:right w:val="single" w:sz="4" w:space="0" w:color="21488A"/>
        <w:insideH w:val="single" w:sz="4" w:space="0" w:color="21488A"/>
        <w:insideV w:val="single" w:sz="4" w:space="0" w:color="21488A"/>
      </w:tblBorders>
      <w:tblCellMar>
        <w:top w:w="85" w:type="dxa"/>
        <w:bottom w:w="85" w:type="dxa"/>
      </w:tblCellMar>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style>
  <w:style w:type="table" w:customStyle="1" w:styleId="Table-lightbluegrid">
    <w:name w:val="Table - light blue grid"/>
    <w:basedOn w:val="Table-bluegrid"/>
    <w:uiPriority w:val="99"/>
    <w:rsid w:val="00A23E43"/>
    <w:tblPr>
      <w:tblBorders>
        <w:top w:val="single" w:sz="4" w:space="0" w:color="009BBB"/>
        <w:left w:val="single" w:sz="4" w:space="0" w:color="009BBB"/>
        <w:bottom w:val="single" w:sz="4" w:space="0" w:color="009BBB"/>
        <w:right w:val="single" w:sz="4" w:space="0" w:color="009BBB"/>
        <w:insideH w:val="single" w:sz="4" w:space="0" w:color="009BBB"/>
        <w:insideV w:val="single" w:sz="4" w:space="0" w:color="009BBB"/>
      </w:tblBorders>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style>
  <w:style w:type="table" w:customStyle="1" w:styleId="Table-purplegrid">
    <w:name w:val="Table - purple grid"/>
    <w:basedOn w:val="Table-bluegrid"/>
    <w:uiPriority w:val="99"/>
    <w:rsid w:val="00A23E43"/>
    <w:tblPr>
      <w:tblBorders>
        <w:top w:val="single" w:sz="4" w:space="0" w:color="A40084"/>
        <w:left w:val="single" w:sz="4" w:space="0" w:color="A40084"/>
        <w:bottom w:val="single" w:sz="4" w:space="0" w:color="A40084"/>
        <w:right w:val="single" w:sz="4" w:space="0" w:color="A40084"/>
        <w:insideH w:val="single" w:sz="4" w:space="0" w:color="A40084"/>
        <w:insideV w:val="single" w:sz="4" w:space="0" w:color="A40084"/>
      </w:tblBorders>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style>
  <w:style w:type="table" w:customStyle="1" w:styleId="Table-bluerows">
    <w:name w:val="Table - blue rows"/>
    <w:basedOn w:val="Table-bluegrid"/>
    <w:uiPriority w:val="99"/>
    <w:rsid w:val="004C44C7"/>
    <w:tblPr>
      <w:tblBorders>
        <w:top w:val="single" w:sz="2" w:space="0" w:color="21488A"/>
        <w:left w:val="single" w:sz="2" w:space="0" w:color="21488A"/>
        <w:bottom w:val="single" w:sz="2" w:space="0" w:color="21488A"/>
        <w:right w:val="single" w:sz="2" w:space="0" w:color="21488A"/>
        <w:insideH w:val="single" w:sz="2" w:space="0" w:color="21488A"/>
        <w:insideV w:val="none" w:sz="0" w:space="0" w:color="auto"/>
      </w:tblBorders>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style>
  <w:style w:type="table" w:customStyle="1" w:styleId="Table-lightbluerows">
    <w:name w:val="Table - light blue rows"/>
    <w:basedOn w:val="Table-lightbluegrid"/>
    <w:uiPriority w:val="99"/>
    <w:rsid w:val="004C44C7"/>
    <w:tblPr>
      <w:tblBorders>
        <w:top w:val="single" w:sz="2" w:space="0" w:color="009BBB"/>
        <w:left w:val="single" w:sz="2" w:space="0" w:color="009BBB"/>
        <w:bottom w:val="single" w:sz="2" w:space="0" w:color="009BBB"/>
        <w:right w:val="single" w:sz="2" w:space="0" w:color="009BBB"/>
        <w:insideH w:val="single" w:sz="2" w:space="0" w:color="009BBB"/>
        <w:insideV w:val="none" w:sz="0" w:space="0" w:color="auto"/>
      </w:tblBorders>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style>
  <w:style w:type="table" w:customStyle="1" w:styleId="Table-purplerows">
    <w:name w:val="Table - purple rows"/>
    <w:basedOn w:val="Table-purplegrid"/>
    <w:uiPriority w:val="99"/>
    <w:rsid w:val="004C44C7"/>
    <w:tblPr>
      <w:tblBorders>
        <w:top w:val="single" w:sz="2" w:space="0" w:color="A40084"/>
        <w:left w:val="single" w:sz="2" w:space="0" w:color="A40084"/>
        <w:bottom w:val="single" w:sz="2" w:space="0" w:color="A40084"/>
        <w:right w:val="single" w:sz="2" w:space="0" w:color="A40084"/>
        <w:insideH w:val="single" w:sz="2" w:space="0" w:color="A40084"/>
        <w:insideV w:val="none" w:sz="0" w:space="0" w:color="auto"/>
      </w:tblBorders>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style>
  <w:style w:type="table" w:customStyle="1" w:styleId="Table-bluecolumns">
    <w:name w:val="Table - blue columns"/>
    <w:basedOn w:val="Table-bluegrid"/>
    <w:uiPriority w:val="99"/>
    <w:rsid w:val="004C44C7"/>
    <w:tblPr>
      <w:tblBorders>
        <w:top w:val="single" w:sz="2" w:space="0" w:color="21488A"/>
        <w:left w:val="single" w:sz="2" w:space="0" w:color="21488A"/>
        <w:bottom w:val="single" w:sz="2" w:space="0" w:color="21488A"/>
        <w:right w:val="single" w:sz="2" w:space="0" w:color="21488A"/>
        <w:insideH w:val="none" w:sz="0" w:space="0" w:color="auto"/>
        <w:insideV w:val="single" w:sz="2" w:space="0" w:color="21488A"/>
      </w:tblBorders>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style>
  <w:style w:type="table" w:customStyle="1" w:styleId="Table-lightbluecolumns">
    <w:name w:val="Table - light blue columns"/>
    <w:basedOn w:val="Table-lightbluegrid"/>
    <w:uiPriority w:val="99"/>
    <w:rsid w:val="00A23E43"/>
    <w:tblPr>
      <w:tblBorders>
        <w:top w:val="single" w:sz="2" w:space="0" w:color="009BBB"/>
        <w:left w:val="single" w:sz="2" w:space="0" w:color="009BBB"/>
        <w:bottom w:val="single" w:sz="2" w:space="0" w:color="009BBB"/>
        <w:right w:val="single" w:sz="2" w:space="0" w:color="009BBB"/>
        <w:insideH w:val="none" w:sz="0" w:space="0" w:color="auto"/>
        <w:insideV w:val="single" w:sz="2" w:space="0" w:color="009BBB"/>
      </w:tblBorders>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style>
  <w:style w:type="table" w:customStyle="1" w:styleId="Table-purplecolumns">
    <w:name w:val="Table - purple columns"/>
    <w:basedOn w:val="Table-purplegrid"/>
    <w:uiPriority w:val="99"/>
    <w:rsid w:val="004C44C7"/>
    <w:tblPr>
      <w:tblBorders>
        <w:top w:val="single" w:sz="2" w:space="0" w:color="A40084"/>
        <w:left w:val="single" w:sz="2" w:space="0" w:color="A40084"/>
        <w:bottom w:val="single" w:sz="2" w:space="0" w:color="A40084"/>
        <w:right w:val="single" w:sz="2" w:space="0" w:color="A40084"/>
        <w:insideH w:val="none" w:sz="0" w:space="0" w:color="auto"/>
        <w:insideV w:val="single" w:sz="2" w:space="0" w:color="A40084"/>
      </w:tblBorders>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style>
  <w:style w:type="table" w:customStyle="1" w:styleId="Table-bluegridtotal">
    <w:name w:val="Table - blue grid total"/>
    <w:basedOn w:val="Table-bluegrid"/>
    <w:uiPriority w:val="99"/>
    <w:rsid w:val="00A23E43"/>
    <w:tblPr/>
    <w:tcPr>
      <w:shd w:val="clear" w:color="auto" w:fill="auto"/>
    </w:tcPr>
    <w:tblStylePr w:type="firstRow">
      <w:tblPr/>
      <w:trPr>
        <w:cantSplit/>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tblStylePr w:type="lastRow">
      <w:tblPr/>
      <w:tcPr>
        <w:tcBorders>
          <w:top w:val="single" w:sz="12" w:space="0" w:color="21488A"/>
        </w:tcBorders>
        <w:shd w:val="clear" w:color="auto" w:fill="auto"/>
      </w:tcPr>
    </w:tblStylePr>
  </w:style>
  <w:style w:type="table" w:customStyle="1" w:styleId="Table-bluerowstotal">
    <w:name w:val="Table - blue rows total"/>
    <w:basedOn w:val="Table-bluerows"/>
    <w:uiPriority w:val="99"/>
    <w:rsid w:val="00A23E43"/>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tblStylePr w:type="lastRow">
      <w:tblPr/>
      <w:tcPr>
        <w:tcBorders>
          <w:top w:val="single" w:sz="12" w:space="0" w:color="21488A"/>
        </w:tcBorders>
        <w:shd w:val="clear" w:color="auto" w:fill="auto"/>
      </w:tcPr>
    </w:tblStylePr>
  </w:style>
  <w:style w:type="table" w:customStyle="1" w:styleId="Table-bluecolumnstotal">
    <w:name w:val="Table - blue columns total"/>
    <w:basedOn w:val="Table-bluecolumns"/>
    <w:uiPriority w:val="99"/>
    <w:rsid w:val="008421F6"/>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tblStylePr w:type="lastRow">
      <w:tblPr/>
      <w:tcPr>
        <w:tcBorders>
          <w:top w:val="single" w:sz="2" w:space="0" w:color="21488A"/>
        </w:tcBorders>
        <w:shd w:val="clear" w:color="auto" w:fill="auto"/>
      </w:tcPr>
    </w:tblStylePr>
  </w:style>
  <w:style w:type="table" w:customStyle="1" w:styleId="Table-lightbluecolumnstotal">
    <w:name w:val="Table - light blue columns total"/>
    <w:basedOn w:val="Table-lightbluecolumns"/>
    <w:uiPriority w:val="99"/>
    <w:rsid w:val="00A23E43"/>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tblStylePr w:type="lastRow">
      <w:tblPr/>
      <w:tcPr>
        <w:tcBorders>
          <w:top w:val="single" w:sz="12" w:space="0" w:color="009BBB"/>
        </w:tcBorders>
        <w:shd w:val="clear" w:color="auto" w:fill="auto"/>
      </w:tcPr>
    </w:tblStylePr>
  </w:style>
  <w:style w:type="table" w:customStyle="1" w:styleId="Table-lightbluegridtotal">
    <w:name w:val="Table - light blue grid total"/>
    <w:basedOn w:val="Table-lightbluegrid"/>
    <w:uiPriority w:val="99"/>
    <w:rsid w:val="00A23E43"/>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tblStylePr w:type="lastRow">
      <w:tblPr/>
      <w:tcPr>
        <w:tcBorders>
          <w:top w:val="single" w:sz="12" w:space="0" w:color="009BBB"/>
        </w:tcBorders>
        <w:shd w:val="clear" w:color="auto" w:fill="auto"/>
      </w:tcPr>
    </w:tblStylePr>
  </w:style>
  <w:style w:type="table" w:customStyle="1" w:styleId="Table-lightbluerowstotal">
    <w:name w:val="Table - light blue rows total"/>
    <w:basedOn w:val="Table-lightbluerows"/>
    <w:uiPriority w:val="99"/>
    <w:rsid w:val="00A23E43"/>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tblStylePr w:type="lastRow">
      <w:tblPr/>
      <w:tcPr>
        <w:tcBorders>
          <w:top w:val="single" w:sz="12" w:space="0" w:color="009BBB"/>
        </w:tcBorders>
        <w:shd w:val="clear" w:color="auto" w:fill="auto"/>
      </w:tcPr>
    </w:tblStylePr>
  </w:style>
  <w:style w:type="table" w:customStyle="1" w:styleId="Table-purplegridtotal">
    <w:name w:val="Table - purple grid total"/>
    <w:basedOn w:val="Table-purplegrid"/>
    <w:uiPriority w:val="99"/>
    <w:rsid w:val="00A23E43"/>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tblStylePr w:type="lastRow">
      <w:tblPr/>
      <w:tcPr>
        <w:tcBorders>
          <w:top w:val="single" w:sz="12" w:space="0" w:color="A40084"/>
        </w:tcBorders>
        <w:shd w:val="clear" w:color="auto" w:fill="auto"/>
      </w:tcPr>
    </w:tblStylePr>
  </w:style>
  <w:style w:type="table" w:customStyle="1" w:styleId="Table-purplecolumnstotal">
    <w:name w:val="Table - purple columns total"/>
    <w:basedOn w:val="Table-purplecolumns"/>
    <w:uiPriority w:val="99"/>
    <w:rsid w:val="00A23E43"/>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tblStylePr w:type="lastRow">
      <w:tblPr/>
      <w:tcPr>
        <w:tcBorders>
          <w:top w:val="single" w:sz="12" w:space="0" w:color="A40084"/>
        </w:tcBorders>
        <w:shd w:val="clear" w:color="auto" w:fill="auto"/>
      </w:tcPr>
    </w:tblStylePr>
  </w:style>
  <w:style w:type="table" w:customStyle="1" w:styleId="Table-purplerowstotal">
    <w:name w:val="Table - purple rows total"/>
    <w:basedOn w:val="Table-purplerows"/>
    <w:uiPriority w:val="99"/>
    <w:rsid w:val="00A23E43"/>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tblStylePr w:type="lastRow">
      <w:tblPr/>
      <w:tcPr>
        <w:tcBorders>
          <w:top w:val="single" w:sz="12" w:space="0" w:color="A40084"/>
        </w:tcBorders>
        <w:shd w:val="clear" w:color="auto" w:fill="auto"/>
      </w:tcPr>
    </w:tblStylePr>
  </w:style>
  <w:style w:type="table" w:customStyle="1" w:styleId="Table-bluerowsbanded">
    <w:name w:val="Table - blue rows banded"/>
    <w:basedOn w:val="Table-bluerows"/>
    <w:uiPriority w:val="99"/>
    <w:rsid w:val="006234E0"/>
    <w:tblPr>
      <w:tblStyleRowBandSize w:val="1"/>
      <w:tblBorders>
        <w:top w:val="none" w:sz="0" w:space="0" w:color="auto"/>
        <w:left w:val="none" w:sz="0" w:space="0" w:color="auto"/>
        <w:bottom w:val="none" w:sz="0" w:space="0" w:color="auto"/>
        <w:right w:val="none" w:sz="0" w:space="0" w:color="auto"/>
        <w:insideH w:val="none" w:sz="0" w:space="0" w:color="auto"/>
      </w:tblBorders>
    </w:tblPr>
    <w:tcPr>
      <w:shd w:val="clear" w:color="auto" w:fill="auto"/>
    </w:tcPr>
    <w:tblStylePr w:type="firstRow">
      <w:tblPr/>
      <w:trPr>
        <w:tblHeader/>
      </w:trPr>
      <w:tcPr>
        <w:tcBorders>
          <w:top w:val="single" w:sz="4" w:space="0" w:color="21488A"/>
          <w:left w:val="single" w:sz="4" w:space="0" w:color="21488A"/>
          <w:bottom w:val="single" w:sz="4" w:space="0" w:color="21488A"/>
          <w:right w:val="single" w:sz="4" w:space="0" w:color="21488A"/>
          <w:insideH w:val="single" w:sz="4" w:space="0" w:color="21488A"/>
          <w:insideV w:val="single" w:sz="4" w:space="0" w:color="21488A"/>
          <w:tl2br w:val="nil"/>
          <w:tr2bl w:val="nil"/>
        </w:tcBorders>
        <w:shd w:val="clear" w:color="auto" w:fill="21488A"/>
      </w:tcPr>
    </w:tblStylePr>
    <w:tblStylePr w:type="band2Horz">
      <w:tblPr/>
      <w:tcPr>
        <w:shd w:val="clear" w:color="auto" w:fill="DBE5F1" w:themeFill="accent1" w:themeFillTint="33"/>
      </w:tcPr>
    </w:tblStylePr>
  </w:style>
  <w:style w:type="table" w:customStyle="1" w:styleId="Style1">
    <w:name w:val="Style1"/>
    <w:basedOn w:val="Table-lightbluerows"/>
    <w:uiPriority w:val="99"/>
    <w:rsid w:val="006234E0"/>
    <w:tblPr>
      <w:tblStyleRowBandSize w:val="1"/>
      <w:tblBorders>
        <w:top w:val="none" w:sz="0" w:space="0" w:color="auto"/>
        <w:left w:val="none" w:sz="0" w:space="0" w:color="auto"/>
        <w:bottom w:val="none" w:sz="0" w:space="0" w:color="auto"/>
        <w:right w:val="none" w:sz="0" w:space="0" w:color="auto"/>
        <w:insideH w:val="none" w:sz="0" w:space="0" w:color="auto"/>
      </w:tblBorders>
    </w:tblPr>
    <w:tcPr>
      <w:shd w:val="clear" w:color="auto" w:fill="auto"/>
    </w:tcPr>
    <w:tblStylePr w:type="firstRow">
      <w:tblPr/>
      <w:trPr>
        <w:tblHeader/>
      </w:trPr>
      <w:tcPr>
        <w:tcBorders>
          <w:top w:val="single" w:sz="4" w:space="0" w:color="009BBB"/>
          <w:left w:val="single" w:sz="4" w:space="0" w:color="009BBB"/>
          <w:bottom w:val="single" w:sz="4" w:space="0" w:color="009BBB"/>
          <w:right w:val="single" w:sz="4" w:space="0" w:color="009BBB"/>
          <w:insideH w:val="single" w:sz="4" w:space="0" w:color="009BBB"/>
          <w:insideV w:val="single" w:sz="4" w:space="0" w:color="009BBB"/>
          <w:tl2br w:val="nil"/>
          <w:tr2bl w:val="nil"/>
        </w:tcBorders>
        <w:shd w:val="clear" w:color="auto" w:fill="009BBB"/>
      </w:tcPr>
    </w:tblStylePr>
    <w:tblStylePr w:type="band2Horz">
      <w:tblPr/>
      <w:tcPr>
        <w:shd w:val="clear" w:color="auto" w:fill="DBE5F1" w:themeFill="accent1" w:themeFillTint="33"/>
      </w:tcPr>
    </w:tblStylePr>
  </w:style>
  <w:style w:type="table" w:customStyle="1" w:styleId="Table-purplerowsbanded">
    <w:name w:val="Table - purple rows banded"/>
    <w:basedOn w:val="Table-purplerows"/>
    <w:uiPriority w:val="99"/>
    <w:rsid w:val="006234E0"/>
    <w:tblPr>
      <w:tblStyleRowBandSize w:val="1"/>
      <w:tblBorders>
        <w:top w:val="none" w:sz="0" w:space="0" w:color="auto"/>
        <w:left w:val="none" w:sz="0" w:space="0" w:color="auto"/>
        <w:bottom w:val="none" w:sz="0" w:space="0" w:color="auto"/>
        <w:right w:val="none" w:sz="0" w:space="0" w:color="auto"/>
        <w:insideH w:val="none" w:sz="0" w:space="0" w:color="auto"/>
      </w:tblBorders>
    </w:tblPr>
    <w:tcPr>
      <w:shd w:val="clear" w:color="auto" w:fill="auto"/>
    </w:tcPr>
    <w:tblStylePr w:type="firstRow">
      <w:tblPr/>
      <w:trPr>
        <w:tblHeader/>
      </w:trPr>
      <w:tcPr>
        <w:tcBorders>
          <w:top w:val="single" w:sz="4" w:space="0" w:color="A40084"/>
          <w:left w:val="single" w:sz="4" w:space="0" w:color="A40084"/>
          <w:bottom w:val="single" w:sz="4" w:space="0" w:color="A40084"/>
          <w:right w:val="single" w:sz="4" w:space="0" w:color="A40084"/>
          <w:insideH w:val="single" w:sz="4" w:space="0" w:color="A40084"/>
          <w:insideV w:val="single" w:sz="4" w:space="0" w:color="A40084"/>
          <w:tl2br w:val="nil"/>
          <w:tr2bl w:val="nil"/>
        </w:tcBorders>
        <w:shd w:val="clear" w:color="auto" w:fill="A40084"/>
      </w:tcPr>
    </w:tblStylePr>
    <w:tblStylePr w:type="band2Horz">
      <w:tblPr/>
      <w:tcPr>
        <w:shd w:val="clear" w:color="auto" w:fill="DBE5F1" w:themeFill="accent1" w:themeFillTint="33"/>
      </w:tcPr>
    </w:tblStylePr>
  </w:style>
  <w:style w:type="character" w:styleId="PlaceholderText">
    <w:name w:val="Placeholder Text"/>
    <w:basedOn w:val="DefaultParagraphFont"/>
    <w:uiPriority w:val="99"/>
    <w:semiHidden/>
    <w:rsid w:val="00E82D1F"/>
    <w:rPr>
      <w:color w:val="808080"/>
    </w:rPr>
  </w:style>
  <w:style w:type="paragraph" w:customStyle="1" w:styleId="Question">
    <w:name w:val="Question"/>
    <w:basedOn w:val="Normal"/>
    <w:qFormat/>
    <w:rsid w:val="00720608"/>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27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law/better-regulation/initiatives/com-2017-796_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legal-content/EN/TXT/?uri=celex%3A32008R07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A029EB7-80EA-468E-86D6-F4B6B42BD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BIS report</vt:lpstr>
    </vt:vector>
  </TitlesOfParts>
  <Company>BIS</Company>
  <LinksUpToDate>false</LinksUpToDate>
  <CharactersWithSpaces>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 report</dc:title>
  <dc:creator>Ricketts Simon (GO-Science)</dc:creator>
  <cp:lastModifiedBy>Mike Dimond</cp:lastModifiedBy>
  <cp:revision>2</cp:revision>
  <cp:lastPrinted>2012-11-01T14:25:00Z</cp:lastPrinted>
  <dcterms:created xsi:type="dcterms:W3CDTF">2018-03-19T06:06:00Z</dcterms:created>
  <dcterms:modified xsi:type="dcterms:W3CDTF">2018-03-19T06:06:00Z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Department for Business, Innovation and Skills</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